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rPr>
      </w:pPr>
      <w:r>
        <w:rPr>
          <w:b/>
        </w:rPr>
        <w:t xml:space="preserve">Beleidsplan 2024-2028 Vrijzinnig Protestantse Wijkgemeente Uniekerk / </w:t>
      </w:r>
    </w:p>
    <w:p>
      <w:pPr>
        <w:pStyle w:val="Normal"/>
        <w:rPr>
          <w:b/>
        </w:rPr>
      </w:pPr>
      <w:r>
        <w:rPr>
          <w:b/>
        </w:rPr>
        <w:t xml:space="preserve">Vereniging Evangelische Unie </w:t>
      </w:r>
      <w:r>
        <w:rPr/>
        <w:t xml:space="preserve">(verder te noemen Uniekerk) </w:t>
      </w:r>
      <w:r>
        <w:rPr>
          <w:b/>
        </w:rPr>
        <w:t xml:space="preserve">in de toekomst, </w:t>
      </w:r>
    </w:p>
    <w:p>
      <w:pPr>
        <w:pStyle w:val="Normal"/>
        <w:rPr>
          <w:b/>
        </w:rPr>
      </w:pPr>
      <w:r>
        <w:rPr>
          <w:b/>
        </w:rPr>
        <w:t xml:space="preserve">geloven met hart en mond en handen: </w:t>
      </w:r>
    </w:p>
    <w:p>
      <w:pPr>
        <w:pStyle w:val="Normal"/>
        <w:rPr>
          <w:b/>
        </w:rPr>
      </w:pPr>
      <w:r>
        <w:rPr>
          <w:b/>
        </w:rPr>
      </w:r>
    </w:p>
    <w:p>
      <w:pPr>
        <w:pStyle w:val="Normal"/>
        <w:rPr>
          <w:bCs/>
        </w:rPr>
      </w:pPr>
      <w:r>
        <w:rPr>
          <w:b/>
        </w:rPr>
        <w:t xml:space="preserve">Zing een nieuw lied voor God de Here </w:t>
      </w:r>
      <w:r>
        <w:rPr>
          <w:bCs/>
        </w:rPr>
        <w:t>(Liedboek 971)</w:t>
      </w:r>
    </w:p>
    <w:p>
      <w:pPr>
        <w:pStyle w:val="Normal"/>
        <w:rPr>
          <w:b/>
        </w:rPr>
      </w:pPr>
      <w:r>
        <w:rPr>
          <w:b/>
        </w:rPr>
      </w:r>
    </w:p>
    <w:p>
      <w:pPr>
        <w:pStyle w:val="Normal"/>
        <w:rPr>
          <w:bCs/>
        </w:rPr>
      </w:pPr>
      <w:r>
        <w:rPr>
          <w:bCs/>
        </w:rPr>
        <w:t>Zing een nieuw lied voor God de Here</w:t>
      </w:r>
    </w:p>
    <w:p>
      <w:pPr>
        <w:pStyle w:val="Normal"/>
        <w:rPr>
          <w:bCs/>
        </w:rPr>
      </w:pPr>
      <w:r>
        <w:rPr>
          <w:bCs/>
        </w:rPr>
        <w:t>en wees van harte zeer verblijd</w:t>
      </w:r>
    </w:p>
    <w:p>
      <w:pPr>
        <w:pStyle w:val="Normal"/>
        <w:rPr>
          <w:bCs/>
        </w:rPr>
      </w:pPr>
      <w:r>
        <w:rPr>
          <w:bCs/>
        </w:rPr>
        <w:t>God wil alhier met ons verkeren</w:t>
      </w:r>
    </w:p>
    <w:p>
      <w:pPr>
        <w:pStyle w:val="Normal"/>
        <w:rPr>
          <w:bCs/>
        </w:rPr>
      </w:pPr>
      <w:r>
        <w:rPr>
          <w:bCs/>
        </w:rPr>
        <w:t>hier wordt een huis voor hem bereid</w:t>
      </w:r>
    </w:p>
    <w:p>
      <w:pPr>
        <w:pStyle w:val="Normal"/>
        <w:rPr>
          <w:bCs/>
        </w:rPr>
      </w:pPr>
      <w:r>
        <w:rPr>
          <w:bCs/>
        </w:rPr>
        <w:t>Hij heeft de hand en het verstand</w:t>
      </w:r>
    </w:p>
    <w:p>
      <w:pPr>
        <w:pStyle w:val="Normal"/>
        <w:rPr>
          <w:bCs/>
        </w:rPr>
      </w:pPr>
      <w:r>
        <w:rPr>
          <w:bCs/>
        </w:rPr>
        <w:t>gezegend voor het werk</w:t>
      </w:r>
    </w:p>
    <w:p>
      <w:pPr>
        <w:pStyle w:val="Normal"/>
        <w:rPr>
          <w:bCs/>
        </w:rPr>
      </w:pPr>
      <w:r>
        <w:rPr>
          <w:bCs/>
        </w:rPr>
        <w:t>de bouw van Christus’ kerk</w:t>
      </w:r>
    </w:p>
    <w:p>
      <w:pPr>
        <w:pStyle w:val="Normal"/>
        <w:rPr>
          <w:bCs/>
        </w:rPr>
      </w:pPr>
      <w:r>
        <w:rPr>
          <w:bCs/>
        </w:rPr>
      </w:r>
    </w:p>
    <w:p>
      <w:pPr>
        <w:pStyle w:val="Normal"/>
        <w:rPr>
          <w:bCs/>
        </w:rPr>
      </w:pPr>
      <w:r>
        <w:rPr>
          <w:bCs/>
        </w:rPr>
        <w:t>God wil aan ons telkens weer tonen</w:t>
      </w:r>
    </w:p>
    <w:p>
      <w:pPr>
        <w:pStyle w:val="Normal"/>
        <w:rPr>
          <w:bCs/>
        </w:rPr>
      </w:pPr>
      <w:r>
        <w:rPr>
          <w:bCs/>
        </w:rPr>
        <w:t>dat Hij genadig is en trouw</w:t>
      </w:r>
    </w:p>
    <w:p>
      <w:pPr>
        <w:pStyle w:val="Normal"/>
        <w:rPr>
          <w:bCs/>
        </w:rPr>
      </w:pPr>
      <w:r>
        <w:rPr>
          <w:bCs/>
        </w:rPr>
        <w:t>Dat hij met ons samen wil wonen,</w:t>
      </w:r>
    </w:p>
    <w:p>
      <w:pPr>
        <w:pStyle w:val="Normal"/>
        <w:rPr>
          <w:bCs/>
        </w:rPr>
      </w:pPr>
      <w:r>
        <w:rPr>
          <w:bCs/>
        </w:rPr>
        <w:t>geeft ons de moed voor dit gebouw.</w:t>
      </w:r>
    </w:p>
    <w:p>
      <w:pPr>
        <w:pStyle w:val="Normal"/>
        <w:rPr>
          <w:bCs/>
        </w:rPr>
      </w:pPr>
      <w:r>
        <w:rPr>
          <w:bCs/>
        </w:rPr>
        <w:t>Maar niet met steen en hout alleen</w:t>
      </w:r>
    </w:p>
    <w:p>
      <w:pPr>
        <w:pStyle w:val="Normal"/>
        <w:rPr>
          <w:bCs/>
        </w:rPr>
      </w:pPr>
      <w:r>
        <w:rPr>
          <w:bCs/>
        </w:rPr>
        <w:t>is ’t grote werk gedaan</w:t>
      </w:r>
    </w:p>
    <w:p>
      <w:pPr>
        <w:pStyle w:val="Normal"/>
        <w:rPr>
          <w:bCs/>
        </w:rPr>
      </w:pPr>
      <w:r>
        <w:rPr>
          <w:bCs/>
        </w:rPr>
        <w:t>’</w:t>
      </w:r>
      <w:r>
        <w:rPr>
          <w:bCs/>
        </w:rPr>
        <w:t>t Zal om onszelve gaan.</w:t>
      </w:r>
    </w:p>
    <w:p>
      <w:pPr>
        <w:pStyle w:val="Normal"/>
        <w:rPr>
          <w:bCs/>
        </w:rPr>
      </w:pPr>
      <w:r>
        <w:rPr>
          <w:bCs/>
        </w:rPr>
      </w:r>
    </w:p>
    <w:p>
      <w:pPr>
        <w:pStyle w:val="Normal"/>
        <w:rPr>
          <w:b/>
        </w:rPr>
      </w:pPr>
      <w:r>
        <w:rPr>
          <w:b/>
        </w:rPr>
        <w:t>INLEIDING</w:t>
      </w:r>
    </w:p>
    <w:p>
      <w:pPr>
        <w:pStyle w:val="Normal"/>
        <w:rPr>
          <w:b/>
        </w:rPr>
      </w:pPr>
      <w:r>
        <w:rPr>
          <w:b/>
        </w:rPr>
      </w:r>
    </w:p>
    <w:p>
      <w:pPr>
        <w:pStyle w:val="Normal"/>
        <w:rPr>
          <w:rFonts w:ascii="Calibri" w:hAnsi="Calibri" w:cs="Arial"/>
        </w:rPr>
      </w:pPr>
      <w:r>
        <w:rPr>
          <w:rFonts w:cs="Arial" w:ascii="Calibri" w:hAnsi="Calibri"/>
        </w:rPr>
        <w:t xml:space="preserve">De Uniekerk is onderdeel van de Protestantse Gemeente ’s-Gravenzande </w:t>
      </w:r>
    </w:p>
    <w:p>
      <w:pPr>
        <w:pStyle w:val="Normal"/>
        <w:rPr>
          <w:rFonts w:ascii="Calibri" w:hAnsi="Calibri" w:cs="Arial"/>
        </w:rPr>
      </w:pPr>
      <w:r>
        <w:rPr>
          <w:rFonts w:cs="Arial" w:ascii="Calibri" w:hAnsi="Calibri"/>
        </w:rPr>
        <w:t>die verder bestaat uit de Noorderbrug, de Dorpskerk en de Nieuwe Rank.</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 xml:space="preserve">Historisch heeft de Uniekerk een nauwe band met de overige vrijzinnige </w:t>
      </w:r>
    </w:p>
    <w:p>
      <w:pPr>
        <w:pStyle w:val="Normal"/>
        <w:rPr>
          <w:rFonts w:ascii="Calibri" w:hAnsi="Calibri" w:cs="Arial"/>
        </w:rPr>
      </w:pPr>
      <w:r>
        <w:rPr>
          <w:rFonts w:cs="Arial" w:ascii="Calibri" w:hAnsi="Calibri"/>
        </w:rPr>
        <w:t>gemeenten in het Westland (Samenwerkingsverband Vrijzinnig Westland)</w:t>
      </w:r>
    </w:p>
    <w:p>
      <w:pPr>
        <w:pStyle w:val="Normal"/>
        <w:rPr>
          <w:rFonts w:ascii="Calibri" w:hAnsi="Calibri" w:cs="Arial"/>
        </w:rPr>
      </w:pPr>
      <w:r>
        <w:rPr>
          <w:rFonts w:cs="Arial" w:ascii="Calibri" w:hAnsi="Calibri"/>
        </w:rPr>
        <w:t>Hiertoe behoren de Hervormde Gemeente Oude Kerk te Naaldwijk</w:t>
      </w:r>
    </w:p>
    <w:p>
      <w:pPr>
        <w:pStyle w:val="Normal"/>
        <w:rPr>
          <w:rFonts w:ascii="Calibri" w:hAnsi="Calibri" w:cs="Arial"/>
        </w:rPr>
      </w:pPr>
      <w:r>
        <w:rPr>
          <w:rFonts w:cs="Arial" w:ascii="Calibri" w:hAnsi="Calibri"/>
        </w:rPr>
        <w:t xml:space="preserve">en de Verenigingen van Vrijzinnig Hervormden te Honselersdijk en Maasdijk. </w:t>
      </w:r>
    </w:p>
    <w:p>
      <w:pPr>
        <w:pStyle w:val="Normal"/>
        <w:rPr>
          <w:rFonts w:ascii="Calibri" w:hAnsi="Calibri" w:cs="Arial"/>
        </w:rPr>
      </w:pPr>
      <w:r>
        <w:rPr>
          <w:rFonts w:cs="Arial" w:ascii="Calibri" w:hAnsi="Calibri"/>
        </w:rPr>
        <w:t>Een gezamenlijk Kerkblad (De Vrije Ruimte), jaarlijks enkele Streekdiensten en Streekavonden,</w:t>
      </w:r>
    </w:p>
    <w:p>
      <w:pPr>
        <w:pStyle w:val="Normal"/>
        <w:rPr>
          <w:rFonts w:ascii="Calibri" w:hAnsi="Calibri" w:cs="Arial"/>
        </w:rPr>
      </w:pPr>
      <w:r>
        <w:rPr>
          <w:rFonts w:cs="Arial" w:ascii="Calibri" w:hAnsi="Calibri"/>
        </w:rPr>
        <w:t>vervanging bij afwezigheid, vakantie of ziekte van elkaars voorganger cq predikant geven hier gestalte aan.</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 xml:space="preserve">Met dit “twee sporen beleid” hopen wij het voortbestaan van de Uniekerk </w:t>
      </w:r>
    </w:p>
    <w:p>
      <w:pPr>
        <w:pStyle w:val="Normal"/>
        <w:rPr>
          <w:rFonts w:ascii="Calibri" w:hAnsi="Calibri" w:cs="Arial"/>
        </w:rPr>
      </w:pPr>
      <w:r>
        <w:rPr>
          <w:rFonts w:cs="Arial" w:ascii="Calibri" w:hAnsi="Calibri"/>
        </w:rPr>
        <w:t xml:space="preserve">met daarmee het bewaren van het Vrijzinnig gedachtengoed de komende jaren </w:t>
      </w:r>
    </w:p>
    <w:p>
      <w:pPr>
        <w:pStyle w:val="Normal"/>
        <w:rPr>
          <w:rFonts w:ascii="Calibri" w:hAnsi="Calibri" w:cs="Arial"/>
        </w:rPr>
      </w:pPr>
      <w:r>
        <w:rPr>
          <w:rFonts w:cs="Arial" w:ascii="Calibri" w:hAnsi="Calibri"/>
        </w:rPr>
        <w:t>te kunnen waarborgen.</w:t>
      </w:r>
    </w:p>
    <w:p>
      <w:pPr>
        <w:pStyle w:val="Normal"/>
        <w:rPr>
          <w:b/>
          <w:bCs/>
        </w:rPr>
      </w:pPr>
      <w:r>
        <w:rPr>
          <w:b/>
          <w:bCs/>
        </w:rPr>
      </w:r>
    </w:p>
    <w:p>
      <w:pPr>
        <w:pStyle w:val="Normal"/>
        <w:rPr>
          <w:b/>
          <w:bCs/>
          <w:i/>
          <w:iCs/>
        </w:rPr>
      </w:pPr>
      <w:r>
        <w:rPr>
          <w:b/>
          <w:bCs/>
          <w:i/>
          <w:iCs/>
        </w:rPr>
        <w:t>Wat zijn onze drijfveren?</w:t>
      </w:r>
    </w:p>
    <w:p>
      <w:pPr>
        <w:pStyle w:val="Normal"/>
        <w:rPr>
          <w:i/>
          <w:iCs/>
        </w:rPr>
      </w:pPr>
      <w:r>
        <w:rPr>
          <w:i/>
          <w:iCs/>
        </w:rPr>
        <w:t>In de komende zes jaar staat de Uniekerk voor een groot aantal uitdagingen.</w:t>
      </w:r>
    </w:p>
    <w:p>
      <w:pPr>
        <w:pStyle w:val="Normal"/>
        <w:rPr>
          <w:i/>
          <w:iCs/>
        </w:rPr>
      </w:pPr>
      <w:r>
        <w:rPr>
          <w:i/>
          <w:iCs/>
        </w:rPr>
        <w:t xml:space="preserve">De gemeenteleden worden steeds ouder, er zijn geen jongeren meer in de kerk. </w:t>
      </w:r>
    </w:p>
    <w:p>
      <w:pPr>
        <w:pStyle w:val="Normal"/>
        <w:rPr>
          <w:i/>
          <w:iCs/>
        </w:rPr>
      </w:pPr>
      <w:r>
        <w:rPr>
          <w:i/>
          <w:iCs/>
        </w:rPr>
        <w:t xml:space="preserve">Het gebouw dateert uit 1903 en heeft diverse moderniseringen ondergaan. </w:t>
      </w:r>
    </w:p>
    <w:p>
      <w:pPr>
        <w:pStyle w:val="Normal"/>
        <w:rPr>
          <w:i/>
          <w:iCs/>
        </w:rPr>
      </w:pPr>
      <w:r>
        <w:rPr>
          <w:i/>
          <w:iCs/>
        </w:rPr>
      </w:r>
    </w:p>
    <w:p>
      <w:pPr>
        <w:pStyle w:val="Normal"/>
        <w:rPr>
          <w:i/>
          <w:iCs/>
        </w:rPr>
      </w:pPr>
      <w:r>
        <w:rPr>
          <w:i/>
          <w:iCs/>
        </w:rPr>
        <w:t xml:space="preserve">De vraag is: zetten we in op verbouwen / verduurzamen, afbraak en nieuwbouw </w:t>
      </w:r>
    </w:p>
    <w:p>
      <w:pPr>
        <w:pStyle w:val="Normal"/>
        <w:rPr>
          <w:i/>
          <w:iCs/>
        </w:rPr>
      </w:pPr>
      <w:r>
        <w:rPr>
          <w:i/>
          <w:iCs/>
        </w:rPr>
        <w:t xml:space="preserve">of een hybride vorm van beide. </w:t>
      </w:r>
    </w:p>
    <w:p>
      <w:pPr>
        <w:pStyle w:val="Normal"/>
        <w:rPr>
          <w:i/>
          <w:iCs/>
        </w:rPr>
      </w:pPr>
      <w:r>
        <w:rPr>
          <w:i/>
          <w:iCs/>
        </w:rPr>
        <w:t>Verder gaat de huidige predikant medio 2025 met emeritaat en is de vraag</w:t>
      </w:r>
    </w:p>
    <w:p>
      <w:pPr>
        <w:pStyle w:val="Normal"/>
        <w:rPr>
          <w:i/>
          <w:iCs/>
        </w:rPr>
      </w:pPr>
      <w:r>
        <w:rPr>
          <w:i/>
          <w:iCs/>
        </w:rPr>
        <w:t xml:space="preserve">of en hoe de vacature opgevuld gaat worden. </w:t>
      </w:r>
    </w:p>
    <w:p>
      <w:pPr>
        <w:pStyle w:val="Normal"/>
        <w:rPr>
          <w:i/>
          <w:iCs/>
        </w:rPr>
      </w:pPr>
      <w:r>
        <w:rPr>
          <w:i/>
          <w:iCs/>
        </w:rPr>
        <w:t xml:space="preserve">Met de uitwerking van een duidelijke visie wil dit beleidsplan woorden, handen </w:t>
      </w:r>
    </w:p>
    <w:p>
      <w:pPr>
        <w:pStyle w:val="Normal"/>
        <w:rPr>
          <w:i/>
          <w:iCs/>
        </w:rPr>
      </w:pPr>
      <w:r>
        <w:rPr>
          <w:i/>
          <w:iCs/>
        </w:rPr>
        <w:t>en voeten geven aan de Uniekerk van de toekomst.</w:t>
      </w:r>
    </w:p>
    <w:p>
      <w:pPr>
        <w:pStyle w:val="Normal"/>
        <w:rPr>
          <w:i/>
          <w:iCs/>
        </w:rPr>
      </w:pPr>
      <w:r>
        <w:rPr>
          <w:i/>
          <w:iCs/>
        </w:rPr>
      </w:r>
    </w:p>
    <w:p>
      <w:pPr>
        <w:pStyle w:val="Normal"/>
        <w:rPr>
          <w:i/>
          <w:iCs/>
        </w:rPr>
      </w:pPr>
      <w:r>
        <w:rPr>
          <w:i/>
          <w:iCs/>
        </w:rPr>
        <w:t>Door de veranderende betrokkenheid bij de samenlevings- en geloofsvragen ziet de Uniekerk zich genoodzaakt om haar dienende taak opnieuw onder de loep te nemen.</w:t>
      </w:r>
    </w:p>
    <w:p>
      <w:pPr>
        <w:pStyle w:val="Normal"/>
        <w:rPr>
          <w:i/>
          <w:iCs/>
        </w:rPr>
      </w:pPr>
      <w:r>
        <w:rPr>
          <w:i/>
          <w:iCs/>
        </w:rPr>
        <w:t xml:space="preserve">De bestaande vormen van pastoraat en diaconaat vragen om verdieping van de achtergronden zodat verwachtingen en teleurstellingen nog beter in balans kunnen komen. </w:t>
      </w:r>
    </w:p>
    <w:p>
      <w:pPr>
        <w:pStyle w:val="Normal"/>
        <w:rPr/>
      </w:pPr>
      <w:r>
        <w:rPr>
          <w:i/>
          <w:iCs/>
        </w:rPr>
        <w:t xml:space="preserve">De eigen inbreng van de gemeenteleden zal gestimuleerd worden door een aanbod van nieuwe vormen van gemeenschappelijke ontmoetingen. Hierbij wordt het principe van leren van de wieg tot aan het graf gehanteerd zodat er een veelkleurige en levendige uitwisseling van verschillende generaties tot bloei kan komen. </w:t>
      </w:r>
    </w:p>
    <w:p>
      <w:pPr>
        <w:pStyle w:val="Normal"/>
        <w:rPr>
          <w:b/>
          <w:bCs/>
        </w:rPr>
      </w:pPr>
      <w:r>
        <w:rPr>
          <w:b/>
          <w:bCs/>
        </w:rPr>
      </w:r>
    </w:p>
    <w:p>
      <w:pPr>
        <w:pStyle w:val="Normal"/>
        <w:rPr>
          <w:b/>
          <w:bCs/>
        </w:rPr>
      </w:pPr>
      <w:r>
        <w:rPr>
          <w:b/>
          <w:bCs/>
        </w:rPr>
        <w:t>Visitekaartje</w:t>
      </w:r>
    </w:p>
    <w:p>
      <w:pPr>
        <w:pStyle w:val="Normal"/>
        <w:rPr>
          <w:b/>
          <w:bCs/>
        </w:rPr>
      </w:pPr>
      <w:r>
        <w:rPr>
          <w:b/>
          <w:bCs/>
        </w:rPr>
      </w:r>
    </w:p>
    <w:p>
      <w:pPr>
        <w:pStyle w:val="Normal"/>
        <w:rPr/>
      </w:pPr>
      <w:r>
        <w:rPr/>
        <w:t xml:space="preserve">In - </w:t>
      </w:r>
      <w:r>
        <w:rPr>
          <w:i/>
          <w:iCs/>
        </w:rPr>
        <w:t xml:space="preserve">Eenheid in verscheidenheid - </w:t>
      </w:r>
      <w:r>
        <w:rPr/>
        <w:t xml:space="preserve">wil de Uniekerk woorden, hart, handen en voeten geven </w:t>
      </w:r>
    </w:p>
    <w:p>
      <w:pPr>
        <w:pStyle w:val="Normal"/>
        <w:rPr/>
      </w:pPr>
      <w:r>
        <w:rPr/>
        <w:t>aan het geloof:  dat God de dragende grond van ons bestaan is en dat zowel openheid als verdraagzaamheid naar elkaar en de samenleving tastbare vruchten daarvan zijn.</w:t>
      </w:r>
    </w:p>
    <w:p>
      <w:pPr>
        <w:pStyle w:val="Normal"/>
        <w:rPr>
          <w:b/>
          <w:bCs/>
        </w:rPr>
      </w:pPr>
      <w:r>
        <w:rPr>
          <w:b/>
          <w:bCs/>
        </w:rPr>
      </w:r>
    </w:p>
    <w:p>
      <w:pPr>
        <w:pStyle w:val="Normal"/>
        <w:rPr>
          <w:i/>
          <w:iCs/>
        </w:rPr>
      </w:pPr>
      <w:r>
        <w:rPr>
          <w:b/>
          <w:bCs/>
        </w:rPr>
        <w:t xml:space="preserve">Missie: </w:t>
      </w:r>
      <w:r>
        <w:rPr>
          <w:i/>
          <w:iCs/>
        </w:rPr>
        <w:t>open en dienstbaar</w:t>
      </w:r>
    </w:p>
    <w:p>
      <w:pPr>
        <w:pStyle w:val="Normal"/>
        <w:rPr/>
      </w:pPr>
      <w:r>
        <w:rPr/>
        <w:t>In de Uniekerk is de Bijbelse traditie de primaire bron van overdracht en inspiratie. Toegepast op de huidige tijd en situatie vormt deze traditie de basis van de verschillende manieren van vieren. Zowel de zondagse liturgie als het alledaagse geloofsleven wordt vormgegeven vanuit het besef dat Gods liefde ieder mens op het oog heeft. Die grondwaarde leidt tot bewogenheid om het lot van de aarde, om haar inwoners en hun omgeving. Tot zorg voor elkaar en dienstbaarheid aan de wereld waarin we leven. Er is in de vrijzinnige geloofsbeleving van de Uniekerk een grote mate van openheid naar de cultuur, naar andere godsdiensten en andere manieren van geloven. Er is ruimte voor het experimenteren met verschillende vormen van bezinning.</w:t>
      </w:r>
    </w:p>
    <w:p>
      <w:pPr>
        <w:pStyle w:val="Normal"/>
        <w:rPr/>
      </w:pPr>
      <w:r>
        <w:rPr/>
      </w:r>
    </w:p>
    <w:p>
      <w:pPr>
        <w:pStyle w:val="Normal"/>
        <w:rPr>
          <w:i/>
          <w:iCs/>
        </w:rPr>
      </w:pPr>
      <w:r>
        <w:rPr>
          <w:b/>
          <w:bCs/>
        </w:rPr>
        <w:t>Profilering</w:t>
      </w:r>
      <w:r>
        <w:rPr/>
        <w:t xml:space="preserve">: </w:t>
      </w:r>
      <w:r>
        <w:rPr>
          <w:i/>
          <w:iCs/>
        </w:rPr>
        <w:t>eigentijds en vragend</w:t>
      </w:r>
    </w:p>
    <w:p>
      <w:pPr>
        <w:pStyle w:val="Normal"/>
        <w:rPr/>
      </w:pPr>
      <w:r>
        <w:rPr/>
        <w:t>De Uniekerk profileert zich als een eigentijdse geloofsgemeenschap waar steeds opnieuw vormen gezocht worden om, in de geest van de Schrift, ‘woorden van waarde’ verstaanbaar te maken voor de mens van nu. Het geloof wordt zowel beleefd in verbondenheid met God, elkaar, de medemens en onszelf, als ook op een vrijzinnige manier gereflecteerd. Kenmerkend voor de Uniekerk is de open houding waarbij de vragen steeds vooropgaan. Antwoorden worden soms gevonden maar blijven ook weleens uit.</w:t>
      </w:r>
    </w:p>
    <w:p>
      <w:pPr>
        <w:pStyle w:val="Normal"/>
        <w:rPr/>
      </w:pPr>
      <w:r>
        <w:rPr/>
      </w:r>
    </w:p>
    <w:p>
      <w:pPr>
        <w:pStyle w:val="Normal"/>
        <w:rPr>
          <w:i/>
          <w:iCs/>
        </w:rPr>
      </w:pPr>
      <w:r>
        <w:rPr>
          <w:b/>
          <w:bCs/>
        </w:rPr>
        <w:t xml:space="preserve">Waarden: </w:t>
      </w:r>
      <w:r>
        <w:rPr>
          <w:i/>
          <w:iCs/>
        </w:rPr>
        <w:t>aandacht en betrokkenheid</w:t>
      </w:r>
    </w:p>
    <w:p>
      <w:pPr>
        <w:pStyle w:val="Normal"/>
        <w:rPr/>
      </w:pPr>
      <w:r>
        <w:rPr/>
        <w:t xml:space="preserve">Vanuit een diep geworteld gevoel van saamhorigheid en respect voor de eigenheid van ieder mens, streeft de Uniekerk ernaar om zoveel mogelijk naar elkaar om te zien. </w:t>
      </w:r>
    </w:p>
    <w:p>
      <w:pPr>
        <w:pStyle w:val="Normal"/>
        <w:rPr/>
      </w:pPr>
      <w:r>
        <w:rPr/>
        <w:t xml:space="preserve">Die betrokkenheid bij elkaars wel en wee is de basis van de pastorale- en diaconale zorg </w:t>
      </w:r>
    </w:p>
    <w:p>
      <w:pPr>
        <w:pStyle w:val="Normal"/>
        <w:rPr/>
      </w:pPr>
      <w:r>
        <w:rPr/>
        <w:t xml:space="preserve">die geboden wordt bij ingrijpende kruispunten van het leven. </w:t>
      </w:r>
    </w:p>
    <w:p>
      <w:pPr>
        <w:pStyle w:val="Normal"/>
        <w:rPr/>
      </w:pPr>
      <w:r>
        <w:rPr/>
        <w:t>Jaarlijks worden tal van activiteiten aangeboden: zondagse of doordeweekse vieringen, pastorale ontmoetingen, kringen, geloofsgesprekken, culturele activiteiten.</w:t>
      </w:r>
    </w:p>
    <w:p>
      <w:pPr>
        <w:pStyle w:val="Normal"/>
        <w:rPr>
          <w:b/>
          <w:bCs/>
        </w:rPr>
      </w:pPr>
      <w:r>
        <w:rPr>
          <w:b/>
          <w:bCs/>
        </w:rPr>
      </w:r>
    </w:p>
    <w:p>
      <w:pPr>
        <w:pStyle w:val="Normal"/>
        <w:rPr>
          <w:i/>
          <w:iCs/>
        </w:rPr>
      </w:pPr>
      <w:r>
        <w:rPr>
          <w:b/>
          <w:bCs/>
        </w:rPr>
        <w:t xml:space="preserve">Visie: </w:t>
      </w:r>
      <w:r>
        <w:rPr>
          <w:i/>
          <w:iCs/>
        </w:rPr>
        <w:t>aantrekkelijk en veelkleurig</w:t>
      </w:r>
    </w:p>
    <w:p>
      <w:pPr>
        <w:pStyle w:val="Normal"/>
        <w:rPr/>
      </w:pPr>
      <w:r>
        <w:rPr/>
        <w:t xml:space="preserve">Aan het veelkleurige palet van het aanbod van de ’s-Gravenzandse kerken voegt de Uniekerk een vrijzinnig accent toe. De Uniekerk staat, al meer dan een eeuw lang, open voor mensen die in de vrijzinnige traditie op- of naar toe gegroeid zijn. Daarnaast is zij gericht op de toekomst en heet zij regelmatig gasten welkom die zich bij de eigentijdse manier van geloven thuis voelen. Door de wisselwerking met leden en bezoekers ontstaat regelmatig een verschuiving in de omschrijving van de identiteit van de Uniekerk. Dit houdt het gemeenteleven scherp en bij de tijd. </w:t>
      </w:r>
    </w:p>
    <w:p>
      <w:pPr>
        <w:pStyle w:val="Normal"/>
        <w:rPr>
          <w:b/>
          <w:bCs/>
        </w:rPr>
      </w:pPr>
      <w:r>
        <w:rPr>
          <w:b/>
          <w:bCs/>
        </w:rPr>
      </w:r>
    </w:p>
    <w:p>
      <w:pPr>
        <w:pStyle w:val="Normal"/>
        <w:rPr>
          <w:b/>
          <w:bCs/>
        </w:rPr>
      </w:pPr>
      <w:r>
        <w:rPr>
          <w:b/>
          <w:bCs/>
        </w:rPr>
        <w:t>Enkele cijfers</w:t>
      </w:r>
    </w:p>
    <w:tbl>
      <w:tblPr>
        <w:tblW w:w="6888" w:type="dxa"/>
        <w:jc w:val="start"/>
        <w:tblInd w:w="0" w:type="dxa"/>
        <w:tblLayout w:type="fixed"/>
        <w:tblCellMar>
          <w:top w:w="0" w:type="dxa"/>
          <w:start w:w="70" w:type="dxa"/>
          <w:bottom w:w="0" w:type="dxa"/>
          <w:end w:w="70" w:type="dxa"/>
        </w:tblCellMar>
        <w:tblLook w:noHBand="0" w:noVBand="1" w:firstColumn="1" w:lastRow="0" w:lastColumn="0" w:firstRow="1" w:val="04a0"/>
      </w:tblPr>
      <w:tblGrid>
        <w:gridCol w:w="3354"/>
        <w:gridCol w:w="143"/>
        <w:gridCol w:w="810"/>
        <w:gridCol w:w="1290"/>
        <w:gridCol w:w="1291"/>
      </w:tblGrid>
      <w:tr>
        <w:trPr>
          <w:trHeight w:val="380" w:hRule="atLeast"/>
        </w:trPr>
        <w:tc>
          <w:tcPr>
            <w:tcW w:w="4307" w:type="dxa"/>
            <w:gridSpan w:val="3"/>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t>Leden Uniekerk  Mei 2024</w:t>
            </w:r>
          </w:p>
        </w:tc>
        <w:tc>
          <w:tcPr>
            <w:tcW w:w="1290"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eastAsia="Times New Roman" w:cs="Calibri" w:cstheme="minorHAnsi"/>
                <w:lang w:eastAsia="nl-NL"/>
              </w:rPr>
            </w:pPr>
            <w:r>
              <w:rPr>
                <w:rFonts w:eastAsia="Times New Roman" w:cs="Calibri" w:cstheme="minorHAnsi"/>
                <w:lang w:eastAsia="nl-NL"/>
              </w:rPr>
            </w:r>
          </w:p>
        </w:tc>
        <w:tc>
          <w:tcPr>
            <w:tcW w:w="143" w:type="dxa"/>
            <w:tcBorders/>
            <w:shd w:color="auto" w:fill="auto" w:val="clear"/>
            <w:vAlign w:val="bottom"/>
          </w:tcPr>
          <w:p>
            <w:pPr>
              <w:pStyle w:val="Normal"/>
              <w:rPr>
                <w:rFonts w:eastAsia="Times New Roman" w:cs="Calibri" w:cstheme="minorHAnsi"/>
                <w:lang w:eastAsia="nl-NL"/>
              </w:rPr>
            </w:pPr>
            <w:r>
              <w:rPr>
                <w:rFonts w:eastAsia="Times New Roman" w:cs="Calibri" w:cstheme="minorHAnsi"/>
                <w:lang w:eastAsia="nl-NL"/>
              </w:rPr>
            </w:r>
          </w:p>
        </w:tc>
        <w:tc>
          <w:tcPr>
            <w:tcW w:w="810" w:type="dxa"/>
            <w:tcBorders/>
            <w:shd w:color="auto" w:fill="auto" w:val="clear"/>
            <w:vAlign w:val="bottom"/>
          </w:tcPr>
          <w:p>
            <w:pPr>
              <w:pStyle w:val="Normal"/>
              <w:rPr>
                <w:rFonts w:eastAsia="Times New Roman" w:cs="Calibri" w:cstheme="minorHAnsi"/>
                <w:lang w:eastAsia="nl-NL"/>
              </w:rPr>
            </w:pPr>
            <w:r>
              <w:rPr>
                <w:rFonts w:eastAsia="Times New Roman" w:cs="Calibri" w:cstheme="minorHAnsi"/>
                <w:lang w:eastAsia="nl-NL"/>
              </w:rPr>
            </w:r>
          </w:p>
        </w:tc>
        <w:tc>
          <w:tcPr>
            <w:tcW w:w="1290" w:type="dxa"/>
            <w:tcBorders/>
            <w:shd w:color="auto" w:fill="auto" w:val="clear"/>
            <w:vAlign w:val="bottom"/>
          </w:tcPr>
          <w:p>
            <w:pPr>
              <w:pStyle w:val="Normal"/>
              <w:rPr>
                <w:rFonts w:eastAsia="Times New Roman" w:cs="Calibri" w:cstheme="minorHAnsi"/>
                <w:lang w:eastAsia="nl-NL"/>
              </w:rPr>
            </w:pPr>
            <w:r>
              <w:rPr>
                <w:rFonts w:eastAsia="Times New Roman" w:cs="Calibri" w:cstheme="minorHAnsi"/>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t>Leeftijd</w:t>
            </w:r>
          </w:p>
        </w:tc>
        <w:tc>
          <w:tcPr>
            <w:tcW w:w="143"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r>
          </w:p>
        </w:tc>
        <w:tc>
          <w:tcPr>
            <w:tcW w:w="810"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t xml:space="preserve">aantal </w:t>
            </w:r>
          </w:p>
        </w:tc>
        <w:tc>
          <w:tcPr>
            <w:tcW w:w="1290"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0-17</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17</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18-40</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14</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41-65</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66</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66-79</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105</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80-+</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54</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t>onbekend</w:t>
            </w:r>
          </w:p>
        </w:tc>
        <w:tc>
          <w:tcPr>
            <w:tcW w:w="143" w:type="dxa"/>
            <w:tcBorders/>
            <w:shd w:color="auto" w:fill="auto" w:val="clear"/>
            <w:vAlign w:val="bottom"/>
          </w:tcPr>
          <w:p>
            <w:pPr>
              <w:pStyle w:val="Normal"/>
              <w:rPr>
                <w:rFonts w:eastAsia="Times New Roman" w:cs="Calibri" w:cstheme="minorHAnsi"/>
                <w:color w:val="000000"/>
                <w:lang w:eastAsia="nl-NL"/>
              </w:rPr>
            </w:pPr>
            <w:r>
              <w:rPr>
                <w:rFonts w:eastAsia="Times New Roman" w:cs="Calibri" w:cstheme="minorHAnsi"/>
                <w:color w:val="000000"/>
                <w:lang w:eastAsia="nl-NL"/>
              </w:rPr>
            </w:r>
          </w:p>
        </w:tc>
        <w:tc>
          <w:tcPr>
            <w:tcW w:w="81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t>5</w:t>
            </w:r>
          </w:p>
        </w:tc>
        <w:tc>
          <w:tcPr>
            <w:tcW w:w="1290" w:type="dxa"/>
            <w:tcBorders/>
            <w:shd w:color="auto" w:fill="auto" w:val="clear"/>
            <w:vAlign w:val="bottom"/>
          </w:tcPr>
          <w:p>
            <w:pPr>
              <w:pStyle w:val="Normal"/>
              <w:jc w:val="end"/>
              <w:rPr>
                <w:rFonts w:eastAsia="Times New Roman" w:cs="Calibri" w:cstheme="minorHAnsi"/>
                <w:color w:val="000000"/>
                <w:lang w:eastAsia="nl-NL"/>
              </w:rPr>
            </w:pPr>
            <w:r>
              <w:rPr>
                <w:rFonts w:eastAsia="Times New Roman" w:cs="Calibri" w:cstheme="minorHAnsi"/>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t>Totaal</w:t>
            </w:r>
          </w:p>
        </w:tc>
        <w:tc>
          <w:tcPr>
            <w:tcW w:w="143" w:type="dxa"/>
            <w:tcBorders/>
            <w:shd w:color="auto" w:fill="auto" w:val="clear"/>
            <w:vAlign w:val="bottom"/>
          </w:tcPr>
          <w:p>
            <w:pPr>
              <w:pStyle w:val="Normal"/>
              <w:rPr>
                <w:rFonts w:eastAsia="Times New Roman" w:cs="Calibri" w:cstheme="minorHAnsi"/>
                <w:b/>
                <w:bCs/>
                <w:color w:val="000000"/>
                <w:lang w:eastAsia="nl-NL"/>
              </w:rPr>
            </w:pPr>
            <w:r>
              <w:rPr>
                <w:rFonts w:eastAsia="Times New Roman" w:cs="Calibri" w:cstheme="minorHAnsi"/>
                <w:b/>
                <w:bCs/>
                <w:color w:val="000000"/>
                <w:lang w:eastAsia="nl-NL"/>
              </w:rPr>
            </w:r>
          </w:p>
        </w:tc>
        <w:tc>
          <w:tcPr>
            <w:tcW w:w="810" w:type="dxa"/>
            <w:tcBorders/>
            <w:shd w:color="auto" w:fill="auto" w:val="clear"/>
            <w:vAlign w:val="bottom"/>
          </w:tcPr>
          <w:p>
            <w:pPr>
              <w:pStyle w:val="Normal"/>
              <w:jc w:val="end"/>
              <w:rPr>
                <w:rFonts w:eastAsia="Times New Roman" w:cs="Calibri" w:cstheme="minorHAnsi"/>
                <w:b/>
                <w:bCs/>
                <w:color w:val="000000"/>
                <w:lang w:eastAsia="nl-NL"/>
              </w:rPr>
            </w:pPr>
            <w:r>
              <w:rPr>
                <w:rFonts w:eastAsia="Times New Roman" w:cs="Calibri" w:cstheme="minorHAnsi"/>
                <w:b/>
                <w:bCs/>
                <w:color w:val="000000"/>
                <w:lang w:eastAsia="nl-NL"/>
              </w:rPr>
              <w:t>261</w:t>
            </w:r>
          </w:p>
        </w:tc>
        <w:tc>
          <w:tcPr>
            <w:tcW w:w="1290" w:type="dxa"/>
            <w:tcBorders/>
            <w:shd w:color="auto" w:fill="auto" w:val="clear"/>
            <w:vAlign w:val="bottom"/>
          </w:tcPr>
          <w:p>
            <w:pPr>
              <w:pStyle w:val="Normal"/>
              <w:jc w:val="end"/>
              <w:rPr>
                <w:rFonts w:eastAsia="Times New Roman" w:cs="Calibri" w:cstheme="minorHAnsi"/>
                <w:b/>
                <w:bCs/>
                <w:color w:val="000000"/>
                <w:lang w:eastAsia="nl-NL"/>
              </w:rPr>
            </w:pPr>
            <w:r>
              <w:rPr>
                <w:rFonts w:eastAsia="Times New Roman" w:cs="Calibri" w:cstheme="minorHAnsi"/>
                <w:b/>
                <w:bCs/>
                <w:color w:val="000000"/>
                <w:lang w:eastAsia="nl-NL"/>
              </w:rPr>
            </w:r>
          </w:p>
          <w:p>
            <w:pPr>
              <w:pStyle w:val="Normal"/>
              <w:jc w:val="end"/>
              <w:rPr>
                <w:rFonts w:eastAsia="Times New Roman" w:cs="Calibri" w:cstheme="minorHAnsi"/>
                <w:b/>
                <w:bCs/>
                <w:color w:val="000000"/>
                <w:lang w:eastAsia="nl-NL"/>
              </w:rPr>
            </w:pPr>
            <w:r>
              <w:rPr>
                <w:rFonts w:eastAsia="Times New Roman" w:cs="Calibri" w:cstheme="minorHAnsi"/>
                <w:b/>
                <w:bCs/>
                <w:color w:val="000000"/>
                <w:lang w:eastAsia="nl-NL"/>
              </w:rPr>
            </w:r>
          </w:p>
          <w:p>
            <w:pPr>
              <w:pStyle w:val="Normal"/>
              <w:jc w:val="end"/>
              <w:rPr>
                <w:rFonts w:eastAsia="Times New Roman" w:cs="Calibri" w:cstheme="minorHAnsi"/>
                <w:b/>
                <w:bCs/>
                <w:color w:val="000000"/>
                <w:lang w:eastAsia="nl-NL"/>
              </w:rPr>
            </w:pPr>
            <w:r>
              <w:rPr>
                <w:rFonts w:eastAsia="Times New Roman" w:cs="Calibri" w:cstheme="minorHAnsi"/>
                <w:b/>
                <w:bCs/>
                <w:color w:val="00000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atLeast"/>
        </w:trPr>
        <w:tc>
          <w:tcPr>
            <w:tcW w:w="3354" w:type="dxa"/>
            <w:tcBorders/>
            <w:shd w:color="auto" w:fill="auto" w:val="clear"/>
            <w:vAlign w:val="bottom"/>
          </w:tcPr>
          <w:p>
            <w:pPr>
              <w:pStyle w:val="Normal"/>
              <w:rPr>
                <w:rFonts w:ascii="Aptos Narrow" w:hAnsi="Aptos Narrow" w:eastAsia="Times New Roman" w:cs="Times New Roman"/>
                <w:color w:val="000000"/>
                <w:lang w:eastAsia="nl-NL"/>
              </w:rPr>
            </w:pPr>
            <w:r>
              <w:rPr>
                <w:rFonts w:eastAsia="Times New Roman" w:cs="Times New Roman" w:ascii="Aptos Narrow" w:hAnsi="Aptos Narrow"/>
                <w:color w:val="000000"/>
                <w:lang w:eastAsia="nl-NL"/>
              </w:rPr>
              <w:drawing>
                <wp:anchor distT="0" distB="0" distL="0" distR="0" simplePos="0" relativeHeight="2" behindDoc="0" locked="0" layoutInCell="1" allowOverlap="1">
                  <wp:simplePos x="0" y="0"/>
                  <wp:positionH relativeFrom="column">
                    <wp:posOffset>12700</wp:posOffset>
                  </wp:positionH>
                  <wp:positionV relativeFrom="paragraph">
                    <wp:posOffset>139700</wp:posOffset>
                  </wp:positionV>
                  <wp:extent cx="4597400" cy="2768600"/>
                  <wp:effectExtent l="0" t="0" r="0" b="0"/>
                  <wp:wrapNone/>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anchor>
              </w:drawing>
            </w:r>
          </w:p>
          <w:tbl>
            <w:tblPr>
              <w:tblW w:w="2601" w:type="dxa"/>
              <w:jc w:val="start"/>
              <w:tblInd w:w="0" w:type="dxa"/>
              <w:tblLayout w:type="fixed"/>
              <w:tblCellMar>
                <w:top w:w="0" w:type="dxa"/>
                <w:start w:w="0" w:type="dxa"/>
                <w:bottom w:w="0" w:type="dxa"/>
                <w:end w:w="0" w:type="dxa"/>
              </w:tblCellMar>
              <w:tblLook w:noHBand="0" w:noVBand="1" w:firstColumn="1" w:lastRow="0" w:lastColumn="0" w:firstRow="1" w:val="04a0"/>
            </w:tblPr>
            <w:tblGrid>
              <w:gridCol w:w="2601"/>
            </w:tblGrid>
            <w:tr>
              <w:trPr>
                <w:trHeight w:val="320" w:hRule="exact"/>
              </w:trPr>
              <w:tc>
                <w:tcPr>
                  <w:tcW w:w="2601" w:type="dxa"/>
                  <w:tcBorders/>
                  <w:shd w:color="auto" w:fill="auto" w:val="clear"/>
                  <w:vAlign w:val="bottom"/>
                </w:tcPr>
                <w:p>
                  <w:pPr>
                    <w:pStyle w:val="Normal"/>
                    <w:rPr>
                      <w:rFonts w:ascii="Aptos Narrow" w:hAnsi="Aptos Narrow" w:eastAsia="Times New Roman" w:cs="Times New Roman"/>
                      <w:color w:val="000000"/>
                      <w:lang w:eastAsia="nl-NL"/>
                    </w:rPr>
                  </w:pPr>
                  <w:r>
                    <w:rPr>
                      <w:rFonts w:eastAsia="Times New Roman" w:cs="Times New Roman" w:ascii="Aptos Narrow" w:hAnsi="Aptos Narrow"/>
                      <w:color w:val="000000"/>
                      <w:lang w:eastAsia="nl-NL"/>
                    </w:rPr>
                  </w:r>
                </w:p>
              </w:tc>
            </w:tr>
          </w:tbl>
          <w:p>
            <w:pPr>
              <w:pStyle w:val="Normal"/>
              <w:rPr>
                <w:rFonts w:ascii="Aptos Narrow" w:hAnsi="Aptos Narrow" w:eastAsia="Times New Roman" w:cs="Times New Roman"/>
                <w:color w:val="000000"/>
                <w:lang w:eastAsia="nl-NL"/>
              </w:rPr>
            </w:pPr>
            <w:r>
              <w:rPr>
                <w:rFonts w:eastAsia="Times New Roman" w:cs="Times New Roman" w:ascii="Aptos Narrow" w:hAnsi="Aptos Narrow"/>
                <w:color w:val="00000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r>
        <w:trPr>
          <w:trHeight w:val="320" w:hRule="exact"/>
        </w:trPr>
        <w:tc>
          <w:tcPr>
            <w:tcW w:w="3354"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43"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81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0"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c>
          <w:tcPr>
            <w:tcW w:w="1291" w:type="dxa"/>
            <w:tcBorders/>
            <w:shd w:color="auto" w:fill="auto" w:val="clear"/>
            <w:vAlign w:val="bottom"/>
          </w:tcPr>
          <w:p>
            <w:pPr>
              <w:pStyle w:val="Normal"/>
              <w:rPr>
                <w:rFonts w:ascii="Times New Roman" w:hAnsi="Times New Roman" w:eastAsia="Times New Roman" w:cs="Times New Roman"/>
                <w:sz w:val="20"/>
                <w:szCs w:val="20"/>
                <w:lang w:eastAsia="nl-NL"/>
              </w:rPr>
            </w:pPr>
            <w:r>
              <w:rPr>
                <w:rFonts w:eastAsia="Times New Roman" w:cs="Times New Roman" w:ascii="Times New Roman" w:hAnsi="Times New Roman"/>
                <w:sz w:val="20"/>
                <w:szCs w:val="20"/>
                <w:lang w:eastAsia="nl-NL"/>
              </w:rPr>
            </w:r>
          </w:p>
        </w:tc>
      </w:tr>
    </w:tbl>
    <w:p>
      <w:pPr>
        <w:pStyle w:val="Normal"/>
        <w:rPr>
          <w:b/>
          <w:bCs/>
        </w:rPr>
      </w:pPr>
      <w:r>
        <w:rPr>
          <w:b/>
          <w:bCs/>
        </w:rPr>
      </w:r>
    </w:p>
    <w:p>
      <w:pPr>
        <w:pStyle w:val="Normal"/>
        <w:rPr>
          <w:b/>
          <w:bCs/>
        </w:rPr>
      </w:pPr>
      <w:r>
        <w:rPr>
          <w:b/>
          <w:bCs/>
        </w:rPr>
        <w:t>DE KERNTAKEN</w:t>
      </w:r>
    </w:p>
    <w:p>
      <w:pPr>
        <w:pStyle w:val="Normal"/>
        <w:rPr>
          <w:b/>
          <w:bCs/>
        </w:rPr>
      </w:pPr>
      <w:r>
        <w:rPr>
          <w:b/>
          <w:bCs/>
        </w:rPr>
      </w:r>
    </w:p>
    <w:p>
      <w:pPr>
        <w:pStyle w:val="Normal"/>
        <w:rPr>
          <w:b/>
          <w:bCs/>
        </w:rPr>
      </w:pPr>
      <w:r>
        <w:rPr>
          <w:b/>
          <w:bCs/>
        </w:rPr>
        <w:t>1.</w:t>
        <w:tab/>
        <w:t>EREDIENST</w:t>
      </w:r>
    </w:p>
    <w:p>
      <w:pPr>
        <w:pStyle w:val="Normal"/>
        <w:rPr/>
      </w:pPr>
      <w:r>
        <w:rPr/>
      </w:r>
    </w:p>
    <w:p>
      <w:pPr>
        <w:pStyle w:val="Normal"/>
        <w:rPr>
          <w:b/>
          <w:bCs/>
        </w:rPr>
      </w:pPr>
      <w:r>
        <w:rPr>
          <w:b/>
          <w:bCs/>
        </w:rPr>
        <w:t>Eredienst:</w:t>
      </w:r>
    </w:p>
    <w:p>
      <w:pPr>
        <w:pStyle w:val="Normal"/>
        <w:rPr>
          <w:b/>
          <w:bCs/>
        </w:rPr>
      </w:pPr>
      <w:r>
        <w:rPr>
          <w:b/>
          <w:bCs/>
        </w:rPr>
      </w:r>
    </w:p>
    <w:p>
      <w:pPr>
        <w:pStyle w:val="Normal"/>
        <w:rPr>
          <w:b/>
          <w:bCs/>
        </w:rPr>
      </w:pPr>
      <w:r>
        <w:rPr/>
        <w:t>Zorgen voor aantrekkelijke kerkdiensten voor de gemeenteleden en belangstellenden. Samenstellen bijzondere diensten, uitnodigen Koren en musici: Dominee en liturgiecommissie Verzorgen “live” uitzendingen: Commissie “Beeld en Geluid”</w:t>
      </w:r>
    </w:p>
    <w:p>
      <w:pPr>
        <w:pStyle w:val="Normal"/>
        <w:rPr>
          <w:b/>
          <w:bCs/>
        </w:rPr>
      </w:pPr>
      <w:r>
        <w:rPr>
          <w:b/>
          <w:bCs/>
        </w:rPr>
      </w:r>
    </w:p>
    <w:p>
      <w:pPr>
        <w:pStyle w:val="Normal"/>
        <w:rPr>
          <w:b/>
          <w:bCs/>
        </w:rPr>
      </w:pPr>
      <w:r>
        <w:rPr>
          <w:b/>
          <w:bCs/>
        </w:rPr>
        <w:t>2.</w:t>
        <w:tab/>
        <w:t>PASTORAAT</w:t>
      </w:r>
    </w:p>
    <w:p>
      <w:pPr>
        <w:pStyle w:val="Normal"/>
        <w:rPr>
          <w:b/>
          <w:bCs/>
        </w:rPr>
      </w:pPr>
      <w:r>
        <w:rPr>
          <w:b/>
          <w:bCs/>
        </w:rPr>
      </w:r>
    </w:p>
    <w:p>
      <w:pPr>
        <w:pStyle w:val="Normal"/>
        <w:rPr>
          <w:b/>
          <w:bCs/>
        </w:rPr>
      </w:pPr>
      <w:r>
        <w:rPr>
          <w:b/>
          <w:bCs/>
        </w:rPr>
        <w:t>Pastoraal beleid in de Uniekerk</w:t>
      </w:r>
    </w:p>
    <w:p>
      <w:pPr>
        <w:pStyle w:val="Normal"/>
        <w:rPr>
          <w:i/>
          <w:iCs/>
        </w:rPr>
      </w:pPr>
      <w:r>
        <w:rPr>
          <w:i/>
          <w:iCs/>
        </w:rPr>
      </w:r>
    </w:p>
    <w:p>
      <w:pPr>
        <w:pStyle w:val="Normal"/>
        <w:rPr>
          <w:i/>
          <w:iCs/>
        </w:rPr>
      </w:pPr>
      <w:r>
        <w:rPr>
          <w:i/>
          <w:iCs/>
        </w:rPr>
        <w:t>Van individu naar gemeenschap: (groot) huisbezoek</w:t>
      </w:r>
    </w:p>
    <w:p>
      <w:pPr>
        <w:pStyle w:val="Normal"/>
        <w:rPr/>
      </w:pPr>
      <w:r>
        <w:rPr/>
        <w:t>De pastorale aandacht voor elkaar vormt de basis van het samen gemeente zijn. Het pastoraat in de Uniekerk heeft als uitgangspunt dat ieder gemeentelid het gevoel krijgt dat hij/zij er mag zijn met zijn/haar eigen geloofservaring. Die individuele aandacht vormt de basis van de overige activiteiten waarin ook onderlinge verschillen in geloofservaring en geloofsbeleving naar voren kunnen komen.</w:t>
      </w:r>
    </w:p>
    <w:p>
      <w:pPr>
        <w:pStyle w:val="Normal"/>
        <w:rPr/>
      </w:pPr>
      <w:r>
        <w:rPr/>
        <w:t>In de praktijk is het huisbezoek de activiteit waarin de individuele aandacht vorm krijgt.</w:t>
      </w:r>
    </w:p>
    <w:p>
      <w:pPr>
        <w:pStyle w:val="Normal"/>
        <w:rPr/>
      </w:pPr>
      <w:r>
        <w:rPr/>
        <w:t xml:space="preserve">In het verlengde daarvan liggen de ziekenhuisbezoeken en de bezoeken aan gemeenteleden </w:t>
      </w:r>
    </w:p>
    <w:p>
      <w:pPr>
        <w:pStyle w:val="Normal"/>
        <w:rPr/>
      </w:pPr>
      <w:r>
        <w:rPr/>
        <w:t>die (tijdelijk of permanent) in een verzorgingstehuis zijn opgenomen.</w:t>
      </w:r>
    </w:p>
    <w:p>
      <w:pPr>
        <w:pStyle w:val="Normal"/>
        <w:rPr/>
      </w:pPr>
      <w:r>
        <w:rPr/>
        <w:t>De huisbezoeken vinden plaats in onderling overleg. In de meeste gevallen neemt de bezoeker het initiatief en wordt er een tijdstip afgesproken.</w:t>
      </w:r>
    </w:p>
    <w:p>
      <w:pPr>
        <w:pStyle w:val="Normal"/>
        <w:rPr/>
      </w:pPr>
      <w:r>
        <w:rPr/>
      </w:r>
    </w:p>
    <w:p>
      <w:pPr>
        <w:pStyle w:val="Normal"/>
        <w:rPr>
          <w:i/>
          <w:iCs/>
        </w:rPr>
      </w:pPr>
      <w:r>
        <w:rPr>
          <w:i/>
          <w:iCs/>
        </w:rPr>
        <w:t>Van gewone naar speciale levensmomenten</w:t>
      </w:r>
    </w:p>
    <w:p>
      <w:pPr>
        <w:pStyle w:val="Normal"/>
        <w:rPr/>
      </w:pPr>
      <w:r>
        <w:rPr/>
        <w:t xml:space="preserve">Een belangrijk kenmerk van het kerkenwerk en m.n. het pastoraat is dat mensen in hun eigen situatie opgezocht en bezocht worden.  ‘’De kerk’’, vertegenwoordigd door een bezoeker uit haar midden, maakt letterlijk even deel uit van het leven van een gemeentelid.  Op speciale momenten kan dat een grotere nabijheid geven omdat er wederzijds al een basis is gelegd. </w:t>
      </w:r>
    </w:p>
    <w:p>
      <w:pPr>
        <w:pStyle w:val="Normal"/>
        <w:rPr/>
      </w:pPr>
      <w:r>
        <w:rPr/>
        <w:t>De bezoeker kan dan ‘’lachen met wie blij is’’ en ‘’huilen met wie verdriet heeft’’ (vrij naar Romeinen 12: 15).</w:t>
      </w:r>
    </w:p>
    <w:p>
      <w:pPr>
        <w:pStyle w:val="Normal"/>
        <w:rPr/>
      </w:pPr>
      <w:r>
        <w:rPr/>
        <w:t xml:space="preserve">In de gewone gesprekken en huisbezoeken wordt dan ook extra benadrukt dat het fijn is als belangrijke levensmomenten worden doorgegeven aan de coördinator van het bezoekwerk </w:t>
      </w:r>
    </w:p>
    <w:p>
      <w:pPr>
        <w:pStyle w:val="Normal"/>
        <w:rPr/>
      </w:pPr>
      <w:r>
        <w:rPr/>
        <w:t>of aan de dominee zodat er goed en tijdig op ingespeeld kan worden.</w:t>
      </w:r>
    </w:p>
    <w:p>
      <w:pPr>
        <w:pStyle w:val="Normal"/>
        <w:rPr/>
      </w:pPr>
      <w:r>
        <w:rPr/>
        <w:t>Daarnaast zoekt de Uniekerk op verschillende momenten zelf contact met haar leden: via het Pastorale team.</w:t>
      </w:r>
    </w:p>
    <w:p>
      <w:pPr>
        <w:pStyle w:val="Normal"/>
        <w:rPr/>
      </w:pPr>
      <w:r>
        <w:rPr/>
      </w:r>
    </w:p>
    <w:p>
      <w:pPr>
        <w:pStyle w:val="Normal"/>
        <w:rPr>
          <w:i/>
          <w:iCs/>
        </w:rPr>
      </w:pPr>
      <w:r>
        <w:rPr>
          <w:i/>
          <w:iCs/>
        </w:rPr>
        <w:t>Van een gewone situatie naar een bijzondere situatie: crisispastoraat</w:t>
      </w:r>
    </w:p>
    <w:p>
      <w:pPr>
        <w:pStyle w:val="Normal"/>
        <w:rPr/>
      </w:pPr>
      <w:r>
        <w:rPr/>
        <w:t xml:space="preserve">Er kunnen momenten zijn waarop het pastoraat voorrang heeft. Dit is bij dringende zaken </w:t>
      </w:r>
    </w:p>
    <w:p>
      <w:pPr>
        <w:pStyle w:val="Normal"/>
        <w:rPr/>
      </w:pPr>
      <w:r>
        <w:rPr/>
        <w:t>en situaties rondom verlies, ziekte en overlijden.  Voor het crisispastoraat moeten alle andere pastorale afspraken wijken. Als de eigen predikant er niet is, moet in dit geval de vervanger worden gebeld.</w:t>
      </w:r>
    </w:p>
    <w:p>
      <w:pPr>
        <w:pStyle w:val="Normal"/>
        <w:rPr/>
      </w:pPr>
      <w:r>
        <w:rPr/>
      </w:r>
    </w:p>
    <w:p>
      <w:pPr>
        <w:pStyle w:val="Normal"/>
        <w:rPr>
          <w:i/>
          <w:iCs/>
        </w:rPr>
      </w:pPr>
      <w:r>
        <w:rPr>
          <w:i/>
          <w:iCs/>
        </w:rPr>
        <w:t>Ledenregistratiesysteem</w:t>
      </w:r>
    </w:p>
    <w:p>
      <w:pPr>
        <w:pStyle w:val="Normal"/>
        <w:rPr/>
      </w:pPr>
      <w:r>
        <w:rPr/>
        <w:t xml:space="preserve">De basis van het contact bestaat uit het uitwisselen van de juiste gegevens en het op de juiste manier behandelen van deze gegevens. </w:t>
      </w:r>
      <w:r>
        <w:rPr>
          <w:color w:val="FF0000"/>
        </w:rPr>
        <w:t xml:space="preserve">  </w:t>
      </w:r>
    </w:p>
    <w:p>
      <w:pPr>
        <w:pStyle w:val="Normal"/>
        <w:rPr/>
      </w:pPr>
      <w:r>
        <w:rPr/>
        <w:t>Vervolgens wordt er zorg voor gedragen dat de juiste gegevens terecht komen en blijven op de plaats waar ze nodig zijn: voor het benaderen van vrijwilligers en voor het verlenen van de juiste zorg en aandacht.</w:t>
      </w:r>
    </w:p>
    <w:p>
      <w:pPr>
        <w:pStyle w:val="Normal"/>
        <w:rPr/>
      </w:pPr>
      <w:r>
        <w:rPr/>
      </w:r>
    </w:p>
    <w:p>
      <w:pPr>
        <w:pStyle w:val="Normal"/>
        <w:rPr/>
      </w:pPr>
      <w:r>
        <w:rPr/>
        <w:t>Wat is er al en wat zijn mogelijke contactmomenten?</w:t>
      </w:r>
    </w:p>
    <w:p>
      <w:pPr>
        <w:pStyle w:val="Normal"/>
        <w:rPr/>
      </w:pPr>
      <w:r>
        <w:rPr/>
        <w:t>-</w:t>
        <w:tab/>
        <w:t>Huisbezoek</w:t>
      </w:r>
    </w:p>
    <w:p>
      <w:pPr>
        <w:pStyle w:val="Normal"/>
        <w:rPr/>
      </w:pPr>
      <w:r>
        <w:rPr/>
        <w:t>-</w:t>
        <w:tab/>
        <w:t>Ziekenhuisbezoek</w:t>
      </w:r>
    </w:p>
    <w:p>
      <w:pPr>
        <w:pStyle w:val="Normal"/>
        <w:rPr/>
      </w:pPr>
      <w:r>
        <w:rPr/>
        <w:t>-</w:t>
        <w:tab/>
        <w:t>Verzorgingstehuis (tijdelijk of permanent)</w:t>
      </w:r>
    </w:p>
    <w:p>
      <w:pPr>
        <w:pStyle w:val="Normal"/>
        <w:rPr/>
      </w:pPr>
      <w:r>
        <w:rPr/>
        <w:t>-</w:t>
        <w:tab/>
        <w:t>Crisispastoraat</w:t>
      </w:r>
    </w:p>
    <w:p>
      <w:pPr>
        <w:pStyle w:val="Normal"/>
        <w:rPr/>
      </w:pPr>
      <w:r>
        <w:rPr/>
        <w:t>-</w:t>
        <w:tab/>
        <w:t>Pastoraat rondom geboorte, huwelijk, relatie, werk, jubilea en verlies.</w:t>
      </w:r>
    </w:p>
    <w:p>
      <w:pPr>
        <w:pStyle w:val="Normal"/>
        <w:rPr/>
      </w:pPr>
      <w:r>
        <w:rPr/>
        <w:t>-</w:t>
        <w:tab/>
        <w:t>Verjaardagsfonds</w:t>
      </w:r>
    </w:p>
    <w:p>
      <w:pPr>
        <w:pStyle w:val="Normal"/>
        <w:rPr/>
      </w:pPr>
      <w:r>
        <w:rPr/>
        <w:t>-</w:t>
        <w:tab/>
        <w:t>Bloemendienst</w:t>
      </w:r>
    </w:p>
    <w:p>
      <w:pPr>
        <w:pStyle w:val="Normal"/>
        <w:rPr/>
      </w:pPr>
      <w:r>
        <w:rPr/>
        <w:t>-</w:t>
        <w:tab/>
        <w:t>Attentie bij de Oogstdienst</w:t>
      </w:r>
    </w:p>
    <w:p>
      <w:pPr>
        <w:pStyle w:val="Normal"/>
        <w:rPr/>
      </w:pPr>
      <w:r>
        <w:rPr/>
        <w:t>-</w:t>
        <w:tab/>
        <w:t>Oliebollenactie</w:t>
      </w:r>
    </w:p>
    <w:p>
      <w:pPr>
        <w:pStyle w:val="Normal"/>
        <w:rPr/>
      </w:pPr>
      <w:r>
        <w:rPr/>
        <w:t>-</w:t>
        <w:tab/>
        <w:t>Lotenverkoop</w:t>
      </w:r>
    </w:p>
    <w:p>
      <w:pPr>
        <w:pStyle w:val="Normal"/>
        <w:rPr/>
      </w:pPr>
      <w:r>
        <w:rPr/>
        <w:t>-</w:t>
        <w:tab/>
        <w:t>Jaarlijkse barbecue</w:t>
      </w:r>
    </w:p>
    <w:p>
      <w:pPr>
        <w:pStyle w:val="Normal"/>
        <w:rPr/>
      </w:pPr>
      <w:r>
        <w:rPr/>
        <w:t>-</w:t>
        <w:tab/>
        <w:t>Jaarlijkse Bazaar</w:t>
      </w:r>
    </w:p>
    <w:p>
      <w:pPr>
        <w:pStyle w:val="Normal"/>
        <w:rPr/>
      </w:pPr>
      <w:r>
        <w:rPr/>
      </w:r>
    </w:p>
    <w:p>
      <w:pPr>
        <w:pStyle w:val="Normal"/>
        <w:rPr>
          <w:i/>
        </w:rPr>
      </w:pPr>
      <w:r>
        <w:rPr>
          <w:i/>
        </w:rPr>
        <w:t>Vertrouwen en betrouwbaarheid:</w:t>
      </w:r>
    </w:p>
    <w:p>
      <w:pPr>
        <w:pStyle w:val="Normal"/>
        <w:rPr/>
      </w:pPr>
      <w:r>
        <w:rPr/>
        <w:t>-</w:t>
        <w:tab/>
        <w:t>Het is van belang dat mensen met hun vragen vertrouwelijk worden behandeld</w:t>
      </w:r>
    </w:p>
    <w:p>
      <w:pPr>
        <w:pStyle w:val="Normal"/>
        <w:rPr/>
      </w:pPr>
      <w:r>
        <w:rPr/>
        <w:t>-</w:t>
        <w:tab/>
        <w:t>Discretie naar buiten: vragen serieus nemen en feedback geven</w:t>
      </w:r>
    </w:p>
    <w:p>
      <w:pPr>
        <w:pStyle w:val="Normal"/>
        <w:ind w:hanging="708" w:start="708"/>
        <w:rPr/>
      </w:pPr>
      <w:r>
        <w:rPr/>
        <w:t>-</w:t>
        <w:tab/>
        <w:t xml:space="preserve">Voor echt vertrouwelijke onderwerpen kan contact worden opgenomen met één van </w:t>
      </w:r>
    </w:p>
    <w:p>
      <w:pPr>
        <w:pStyle w:val="Normal"/>
        <w:ind w:hanging="708" w:start="708"/>
        <w:rPr>
          <w:lang w:val="en-US"/>
        </w:rPr>
      </w:pPr>
      <w:r>
        <w:rPr/>
        <w:tab/>
        <w:t>de vertrouwenspersonen van de Vertrouwenscommissie van de PGG.</w:t>
      </w:r>
      <w:r>
        <w:rPr>
          <w:lang w:val="en-US"/>
        </w:rPr>
        <w:t xml:space="preserve"> </w:t>
      </w:r>
    </w:p>
    <w:p>
      <w:pPr>
        <w:pStyle w:val="Normal"/>
        <w:ind w:hanging="708" w:start="708"/>
        <w:rPr/>
      </w:pPr>
      <w:r>
        <w:rPr/>
        <w:t>-</w:t>
        <w:tab/>
        <w:t>Vanaf 1 juli 2025 wordt van alle ambtsdragers en vrijwilligers een “Verklaring omtrent Gedrag” vereist.</w:t>
      </w:r>
    </w:p>
    <w:p>
      <w:pPr>
        <w:pStyle w:val="Normal"/>
        <w:ind w:hanging="708" w:start="708"/>
        <w:rPr/>
      </w:pPr>
      <w:r>
        <w:rPr/>
      </w:r>
    </w:p>
    <w:p>
      <w:pPr>
        <w:pStyle w:val="Normal"/>
        <w:rPr>
          <w:b/>
          <w:bCs/>
        </w:rPr>
      </w:pPr>
      <w:r>
        <w:rPr>
          <w:b/>
          <w:bCs/>
        </w:rPr>
        <w:t>3.</w:t>
        <w:tab/>
        <w:t>DIACONAAT</w:t>
      </w:r>
    </w:p>
    <w:p>
      <w:pPr>
        <w:pStyle w:val="Normal"/>
        <w:rPr>
          <w:b/>
          <w:bCs/>
        </w:rPr>
      </w:pPr>
      <w:r>
        <w:rPr>
          <w:b/>
          <w:bCs/>
        </w:rPr>
      </w:r>
    </w:p>
    <w:p>
      <w:pPr>
        <w:pStyle w:val="Normal"/>
        <w:rPr>
          <w:bCs/>
          <w:i/>
        </w:rPr>
      </w:pPr>
      <w:r>
        <w:rPr>
          <w:b/>
          <w:bCs/>
        </w:rPr>
        <w:t xml:space="preserve">Diaconaal beleid in de Uniekerk </w:t>
      </w:r>
    </w:p>
    <w:p>
      <w:pPr>
        <w:pStyle w:val="Normal"/>
        <w:rPr>
          <w:i/>
          <w:iCs/>
        </w:rPr>
      </w:pPr>
      <w:r>
        <w:rPr>
          <w:i/>
          <w:iCs/>
        </w:rPr>
      </w:r>
    </w:p>
    <w:p>
      <w:pPr>
        <w:pStyle w:val="Normal"/>
        <w:rPr/>
      </w:pPr>
      <w:r>
        <w:rPr>
          <w:b/>
          <w:bCs/>
        </w:rPr>
        <w:t>Visieomschrijving</w:t>
      </w:r>
    </w:p>
    <w:p>
      <w:pPr>
        <w:pStyle w:val="Normal"/>
        <w:rPr/>
      </w:pPr>
      <w:r>
        <w:rPr/>
        <w:t>De diakenen in de Uniekerk zijn begaan met het lot van medemensen die in moeilijke posities verkeren. Zij verrichten de ‘dienst van de barmhartigheid’, dit is van oudsher de zorg voor de arme, kwetsbare, beperkte en oudere mens. Deze dienst is zowel een dienst waarin ‘de handen van de kerk’ zichtbaar worden in de naaste en wijde omgeving, als ook de praktische inzet van brood en wijn tijdens de Avondmaalsvieringen. De diakenen staan in het midden van de gemeente met aandacht, zorg en eventuele materiële en financiële ondersteuning.</w:t>
      </w:r>
    </w:p>
    <w:p>
      <w:pPr>
        <w:pStyle w:val="Normal"/>
        <w:rPr/>
      </w:pPr>
      <w:r>
        <w:rPr/>
      </w:r>
    </w:p>
    <w:p>
      <w:pPr>
        <w:pStyle w:val="Normal"/>
        <w:rPr>
          <w:b/>
          <w:bCs/>
        </w:rPr>
      </w:pPr>
      <w:r>
        <w:rPr>
          <w:b/>
          <w:bCs/>
        </w:rPr>
      </w:r>
    </w:p>
    <w:p>
      <w:pPr>
        <w:pStyle w:val="Normal"/>
        <w:rPr>
          <w:b/>
          <w:bCs/>
        </w:rPr>
      </w:pPr>
      <w:r>
        <w:rPr>
          <w:b/>
          <w:bCs/>
        </w:rPr>
      </w:r>
    </w:p>
    <w:p>
      <w:pPr>
        <w:pStyle w:val="Normal"/>
        <w:rPr>
          <w:b/>
          <w:bCs/>
        </w:rPr>
      </w:pPr>
      <w:r>
        <w:rPr>
          <w:b/>
          <w:bCs/>
        </w:rPr>
        <w:t>Samenwerkingsverbanden</w:t>
      </w:r>
    </w:p>
    <w:p>
      <w:pPr>
        <w:pStyle w:val="Normal"/>
        <w:rPr/>
      </w:pPr>
      <w:r>
        <w:rPr/>
        <w:t>Structureel maakt de diaconie deel uit van verschillende plaatselijke en bredere Westlandse diaconale organisaties. Landelijk is men betrokken bij Kerk in Actie.</w:t>
      </w:r>
    </w:p>
    <w:p>
      <w:pPr>
        <w:pStyle w:val="Normal"/>
        <w:rPr/>
      </w:pPr>
      <w:r>
        <w:rPr/>
      </w:r>
    </w:p>
    <w:p>
      <w:pPr>
        <w:pStyle w:val="Normal"/>
        <w:rPr>
          <w:b/>
          <w:bCs/>
        </w:rPr>
      </w:pPr>
      <w:r>
        <w:rPr>
          <w:b/>
          <w:bCs/>
        </w:rPr>
        <w:t>Diakenen in de Uniekerk</w:t>
      </w:r>
    </w:p>
    <w:p>
      <w:pPr>
        <w:pStyle w:val="Normal"/>
        <w:rPr/>
      </w:pPr>
      <w:r>
        <w:rPr/>
        <w:t xml:space="preserve">De diakenen van de Uniekerk wonen de kerkenraadsvergaderingen bij en vragen aandacht voor specifieke diaconale vraagstukken. Daarnaast hebben zij als kerkenraadslid een belangrijke stem in de discussie en beleidsmatige koers van de kerkenraad als geheel. </w:t>
      </w:r>
    </w:p>
    <w:p>
      <w:pPr>
        <w:pStyle w:val="Normal"/>
        <w:rPr>
          <w:b/>
          <w:bCs/>
        </w:rPr>
      </w:pPr>
      <w:r>
        <w:rPr>
          <w:b/>
          <w:bCs/>
        </w:rPr>
      </w:r>
    </w:p>
    <w:p>
      <w:pPr>
        <w:pStyle w:val="Normal"/>
        <w:rPr>
          <w:b/>
          <w:bCs/>
        </w:rPr>
      </w:pPr>
      <w:r>
        <w:rPr>
          <w:b/>
          <w:bCs/>
        </w:rPr>
        <w:t>Taakverdeling binnen de diaconie van de Uniekerk</w:t>
      </w:r>
    </w:p>
    <w:p>
      <w:pPr>
        <w:pStyle w:val="Normal"/>
        <w:rPr/>
      </w:pPr>
      <w:r>
        <w:rPr/>
        <w:t>Iedere diaken heeft een eigen functie.  Diakenen van de Uniekerk zijn vertegenwoordigd in de Diaconale vergaderingen van de Protestantse Gemeente ’s-Gravenzande.</w:t>
      </w:r>
    </w:p>
    <w:p>
      <w:pPr>
        <w:pStyle w:val="Normal"/>
        <w:rPr/>
      </w:pPr>
      <w:r>
        <w:rPr/>
        <w:t>Tijdens die vergaderingen worden individuele hulpverzoeken in overleg besproken.</w:t>
      </w:r>
    </w:p>
    <w:p>
      <w:pPr>
        <w:pStyle w:val="Normal"/>
        <w:rPr/>
      </w:pPr>
      <w:r>
        <w:rPr/>
      </w:r>
    </w:p>
    <w:p>
      <w:pPr>
        <w:pStyle w:val="Normal"/>
        <w:rPr>
          <w:b/>
          <w:bCs/>
        </w:rPr>
      </w:pPr>
      <w:r>
        <w:rPr>
          <w:b/>
          <w:bCs/>
        </w:rPr>
        <w:t>Pastoraat</w:t>
      </w:r>
    </w:p>
    <w:p>
      <w:pPr>
        <w:pStyle w:val="Normal"/>
        <w:rPr/>
      </w:pPr>
      <w:r>
        <w:rPr/>
        <w:t xml:space="preserve">Kennismakingsbezoeken, bezoeken aan ouderen, zieken, gemeenteleden in Verzorgings- en Verpleeghuizen behoren in eerste instantie toe aan de Dominee. Ter ondersteuning hieraan is een “Pastoraal team” samengesteld. Ieder van deze groep heeft een vast aantal gemeenteleden uit bovengenoemde categorieën die regelmatig bezocht worden. </w:t>
      </w:r>
    </w:p>
    <w:p>
      <w:pPr>
        <w:pStyle w:val="Normal"/>
        <w:rPr>
          <w:b/>
          <w:bCs/>
        </w:rPr>
      </w:pPr>
      <w:r>
        <w:rPr>
          <w:b/>
          <w:bCs/>
        </w:rPr>
      </w:r>
    </w:p>
    <w:p>
      <w:pPr>
        <w:pStyle w:val="Normal"/>
        <w:rPr>
          <w:b/>
          <w:bCs/>
        </w:rPr>
      </w:pPr>
      <w:r>
        <w:rPr>
          <w:b/>
          <w:bCs/>
        </w:rPr>
        <w:t xml:space="preserve">Specifieke taken en onderdelen van de diaconie van de Uniekerk die deel uitmaken van de jaarplanner van activiteiten </w:t>
      </w:r>
    </w:p>
    <w:p>
      <w:pPr>
        <w:pStyle w:val="Normal"/>
        <w:rPr/>
      </w:pPr>
      <w:r>
        <w:rPr/>
      </w:r>
    </w:p>
    <w:p>
      <w:pPr>
        <w:pStyle w:val="Normal"/>
        <w:rPr/>
      </w:pPr>
      <w:r>
        <w:rPr/>
        <w:t>- Bijwonen van de kerkenraadsvergaderingen</w:t>
      </w:r>
    </w:p>
    <w:p>
      <w:pPr>
        <w:pStyle w:val="Normal"/>
        <w:rPr/>
      </w:pPr>
      <w:r>
        <w:rPr/>
        <w:t>- Ouderling van dienst in kerkdiensten in de Uniekerk en bij uitvaarten</w:t>
      </w:r>
    </w:p>
    <w:p>
      <w:pPr>
        <w:pStyle w:val="Normal"/>
        <w:rPr/>
      </w:pPr>
      <w:r>
        <w:rPr/>
        <w:t>- Avondmaal (volgens protocol)</w:t>
      </w:r>
    </w:p>
    <w:p>
      <w:pPr>
        <w:pStyle w:val="Normal"/>
        <w:rPr/>
      </w:pPr>
      <w:r>
        <w:rPr/>
        <w:t>- Coördineren van inzamelingen voor de Voedselbank</w:t>
      </w:r>
    </w:p>
    <w:p>
      <w:pPr>
        <w:pStyle w:val="Normal"/>
        <w:rPr/>
      </w:pPr>
      <w:r>
        <w:rPr/>
        <w:t>- Dienst in het verpleeghuis De Kreek</w:t>
      </w:r>
    </w:p>
    <w:p>
      <w:pPr>
        <w:pStyle w:val="Normal"/>
        <w:rPr/>
      </w:pPr>
      <w:r>
        <w:rPr/>
        <w:t>- Rondbrengen van Kerst- en Paasattenties in de tehuizen en 80+</w:t>
      </w:r>
    </w:p>
    <w:p>
      <w:pPr>
        <w:pStyle w:val="Normal"/>
        <w:rPr/>
      </w:pPr>
      <w:r>
        <w:rPr/>
        <w:t>- Organisatie en hulp bij het inschrijven van belangstellenden voor de Westlandweek</w:t>
      </w:r>
    </w:p>
    <w:p>
      <w:pPr>
        <w:pStyle w:val="Normal"/>
        <w:rPr/>
      </w:pPr>
      <w:r>
        <w:rPr/>
        <w:t>- Bezoek aan het Roosevelthuis tijdens de jaarlijkse Westlandweek</w:t>
      </w:r>
    </w:p>
    <w:p>
      <w:pPr>
        <w:pStyle w:val="Normal"/>
        <w:rPr/>
      </w:pPr>
      <w:r>
        <w:rPr/>
        <w:t xml:space="preserve">- Vertegenwoordiging bij te organiseren Kerst- en Paasbijeenkomsten </w:t>
      </w:r>
    </w:p>
    <w:p>
      <w:pPr>
        <w:pStyle w:val="Normal"/>
        <w:rPr/>
      </w:pPr>
      <w:r>
        <w:rPr/>
        <w:t>- Bijwonen van vergaderingen van de Giften Advies Commissie</w:t>
      </w:r>
    </w:p>
    <w:p>
      <w:pPr>
        <w:pStyle w:val="Normal"/>
        <w:rPr/>
      </w:pPr>
      <w:r>
        <w:rPr/>
        <w:t>- Verdeling van de collectes en de praktische uitvoering</w:t>
      </w:r>
    </w:p>
    <w:p>
      <w:pPr>
        <w:pStyle w:val="Normal"/>
        <w:rPr/>
      </w:pPr>
      <w:r>
        <w:rPr/>
      </w:r>
    </w:p>
    <w:p>
      <w:pPr>
        <w:pStyle w:val="Normal"/>
        <w:rPr>
          <w:b/>
          <w:bCs/>
        </w:rPr>
      </w:pPr>
      <w:r>
        <w:rPr>
          <w:b/>
          <w:bCs/>
        </w:rPr>
        <w:t>Financiën van de diaconie van de Uniekerk</w:t>
      </w:r>
    </w:p>
    <w:p>
      <w:pPr>
        <w:pStyle w:val="Normal"/>
        <w:rPr>
          <w:b/>
          <w:bCs/>
        </w:rPr>
      </w:pPr>
      <w:r>
        <w:rPr/>
        <w:t>De inkomsten bestaan uit giften en opbrengsten van collectes. De afhandeling hiervan is ondergebracht bij de PGG.</w:t>
      </w:r>
    </w:p>
    <w:p>
      <w:pPr>
        <w:pStyle w:val="Normal"/>
        <w:rPr>
          <w:b/>
          <w:bCs/>
        </w:rPr>
      </w:pPr>
      <w:r>
        <w:rPr>
          <w:b/>
          <w:bCs/>
        </w:rPr>
      </w:r>
    </w:p>
    <w:p>
      <w:pPr>
        <w:pStyle w:val="Normal"/>
        <w:rPr>
          <w:b/>
          <w:bCs/>
        </w:rPr>
      </w:pPr>
      <w:r>
        <w:rPr>
          <w:b/>
          <w:bCs/>
        </w:rPr>
        <w:t>4.</w:t>
        <w:tab/>
        <w:t>MISSIONAIR</w:t>
      </w:r>
    </w:p>
    <w:p>
      <w:pPr>
        <w:pStyle w:val="Normal"/>
        <w:rPr>
          <w:b/>
          <w:bCs/>
        </w:rPr>
      </w:pPr>
      <w:r>
        <w:rPr>
          <w:b/>
          <w:bCs/>
        </w:rPr>
      </w:r>
    </w:p>
    <w:p>
      <w:pPr>
        <w:pStyle w:val="Normal"/>
        <w:rPr/>
      </w:pPr>
      <w:r>
        <w:rPr/>
        <w:t>Deze taak valt in de Uniekerk grotendeels onder het Diaconaat van de Protestantse Gemeente ’s-Gravenzande en onder Geestelijke Vorming.</w:t>
      </w:r>
    </w:p>
    <w:p>
      <w:pPr>
        <w:pStyle w:val="Normal"/>
        <w:rPr>
          <w:b/>
          <w:bCs/>
        </w:rPr>
      </w:pPr>
      <w:r>
        <w:rPr>
          <w:b/>
          <w:bCs/>
        </w:rPr>
      </w:r>
    </w:p>
    <w:p>
      <w:pPr>
        <w:pStyle w:val="Normal"/>
        <w:numPr>
          <w:ilvl w:val="0"/>
          <w:numId w:val="1"/>
        </w:numPr>
        <w:rPr/>
      </w:pPr>
      <w:r>
        <w:rPr/>
        <w:t>Opstellen van een nieuw aanbod Taakgroep Vorming &amp; Toerusting: Dominee</w:t>
      </w:r>
    </w:p>
    <w:p>
      <w:pPr>
        <w:pStyle w:val="Normal"/>
        <w:numPr>
          <w:ilvl w:val="0"/>
          <w:numId w:val="1"/>
        </w:numPr>
        <w:rPr/>
      </w:pPr>
      <w:r>
        <w:rPr/>
        <w:t>Vrijzinnige inbreng (VVP) en het project Vrijzinnig Perspectief: Dominee plus bestuurslid VVP</w:t>
      </w:r>
    </w:p>
    <w:p>
      <w:pPr>
        <w:pStyle w:val="Normal"/>
        <w:numPr>
          <w:ilvl w:val="0"/>
          <w:numId w:val="1"/>
        </w:numPr>
        <w:rPr/>
      </w:pPr>
      <w:r>
        <w:rPr/>
        <w:t>PR en communicatiebeleid: Dominee plus Kerkenraad</w:t>
      </w:r>
    </w:p>
    <w:p>
      <w:pPr>
        <w:pStyle w:val="Normal"/>
        <w:numPr>
          <w:ilvl w:val="0"/>
          <w:numId w:val="1"/>
        </w:numPr>
        <w:rPr/>
      </w:pPr>
      <w:r>
        <w:rPr/>
        <w:t>Opstellen wekelijkse Nieuwsbrief: Dominee</w:t>
      </w:r>
    </w:p>
    <w:p>
      <w:pPr>
        <w:pStyle w:val="Normal"/>
        <w:numPr>
          <w:ilvl w:val="0"/>
          <w:numId w:val="1"/>
        </w:numPr>
        <w:rPr/>
      </w:pPr>
      <w:r>
        <w:rPr/>
        <w:t>Update website: Dominee</w:t>
      </w:r>
    </w:p>
    <w:p>
      <w:pPr>
        <w:pStyle w:val="Normal"/>
        <w:numPr>
          <w:ilvl w:val="0"/>
          <w:numId w:val="1"/>
        </w:numPr>
        <w:rPr/>
      </w:pPr>
      <w:r>
        <w:rPr/>
        <w:t>Afvaardiging Raad van Kerken</w:t>
      </w:r>
    </w:p>
    <w:p>
      <w:pPr>
        <w:pStyle w:val="Normal"/>
        <w:rPr>
          <w:b/>
          <w:bCs/>
        </w:rPr>
      </w:pPr>
      <w:r>
        <w:rPr>
          <w:b/>
          <w:bCs/>
        </w:rPr>
      </w:r>
    </w:p>
    <w:p>
      <w:pPr>
        <w:pStyle w:val="Normal"/>
        <w:rPr>
          <w:b/>
          <w:bCs/>
        </w:rPr>
      </w:pPr>
      <w:r>
        <w:rPr>
          <w:b/>
          <w:bCs/>
        </w:rPr>
        <w:t>5.</w:t>
        <w:tab/>
        <w:t>GEESTELIJKE VORMING</w:t>
      </w:r>
    </w:p>
    <w:p>
      <w:pPr>
        <w:pStyle w:val="Normal"/>
        <w:rPr>
          <w:b/>
          <w:bCs/>
        </w:rPr>
      </w:pPr>
      <w:r>
        <w:rPr>
          <w:b/>
          <w:bCs/>
        </w:rPr>
      </w:r>
    </w:p>
    <w:p>
      <w:pPr>
        <w:pStyle w:val="Normal"/>
        <w:rPr/>
      </w:pPr>
      <w:r>
        <w:rPr/>
        <w:t>Hieraan wordt vorm gegeven tijdens de Erediensten, Zin in Ouderdom en de bijeenkomsten</w:t>
      </w:r>
    </w:p>
    <w:p>
      <w:pPr>
        <w:pStyle w:val="Normal"/>
        <w:rPr/>
      </w:pPr>
      <w:r>
        <w:rPr/>
        <w:t xml:space="preserve">van de Taakgroep Vorming &amp; Toerusting. </w:t>
      </w:r>
    </w:p>
    <w:p>
      <w:pPr>
        <w:pStyle w:val="Normal"/>
        <w:rPr>
          <w:b/>
          <w:bCs/>
        </w:rPr>
      </w:pPr>
      <w:r>
        <w:rPr>
          <w:b/>
          <w:bCs/>
        </w:rPr>
      </w:r>
    </w:p>
    <w:p>
      <w:pPr>
        <w:pStyle w:val="Normal"/>
        <w:rPr>
          <w:b/>
          <w:bCs/>
        </w:rPr>
      </w:pPr>
      <w:r>
        <w:rPr>
          <w:b/>
          <w:bCs/>
        </w:rPr>
        <w:t>6.</w:t>
        <w:tab/>
        <w:t>BEHEER VASTGOED EN FINANCIËN</w:t>
      </w:r>
    </w:p>
    <w:p>
      <w:pPr>
        <w:pStyle w:val="Normal"/>
        <w:rPr>
          <w:b/>
          <w:bCs/>
        </w:rPr>
      </w:pPr>
      <w:r>
        <w:rPr>
          <w:b/>
          <w:bCs/>
        </w:rPr>
      </w:r>
    </w:p>
    <w:p>
      <w:pPr>
        <w:pStyle w:val="Normal"/>
        <w:rPr/>
      </w:pPr>
      <w:r>
        <w:rPr/>
        <w:t>Het beheer en onderhoud van het Kerkgebouw, het Uniecentrum, de Pastorie en de Kosterswoning valt onder verantwoording van het Bestuur van de Vereniging Evangelische Unie.</w:t>
      </w:r>
    </w:p>
    <w:p>
      <w:pPr>
        <w:pStyle w:val="Normal"/>
        <w:rPr/>
      </w:pPr>
      <w:r>
        <w:rPr/>
        <w:t>Dit Bestuur bestaat uit: een voorzitter, een secretaris, een penningmeester en twee afgevaardigden vanuit de Kerkenraad.</w:t>
      </w:r>
    </w:p>
    <w:p>
      <w:pPr>
        <w:pStyle w:val="Normal"/>
        <w:rPr/>
      </w:pPr>
      <w:r>
        <w:rPr/>
        <w:t>De betaalrekening,  waarop de dagelijkse inkomsten en uitgaven plaats vinden, wordt afzonderlijk beheerd door een gemeentelid.</w:t>
      </w:r>
    </w:p>
    <w:p>
      <w:pPr>
        <w:pStyle w:val="Normal"/>
        <w:rPr/>
      </w:pPr>
      <w:r>
        <w:rPr/>
        <w:t>Voor de beleggingen zijn twee deskundigen aan het dagelijks bestuur van de VEU toegevoegd.</w:t>
      </w:r>
    </w:p>
    <w:p>
      <w:pPr>
        <w:pStyle w:val="Normal"/>
        <w:rPr/>
      </w:pPr>
      <w:r>
        <w:rPr/>
        <w:t>(Beleggingscommissie) Met het rendement van de beleggingen en het “levend geld” (vrijwillige bijdragen, bazaar en collectes) kunnen de kosten van predikant, koster en het onderhoud van het vastgoed worden bekostigd.</w:t>
      </w:r>
    </w:p>
    <w:p>
      <w:pPr>
        <w:pStyle w:val="Normal"/>
        <w:rPr/>
      </w:pPr>
      <w:r>
        <w:rPr/>
        <w:t>Jaarlijks worden de financiën gecontroleerd door een te benoemen kascommissie.</w:t>
      </w:r>
    </w:p>
    <w:p>
      <w:pPr>
        <w:pStyle w:val="Normal"/>
        <w:rPr/>
      </w:pPr>
      <w:r>
        <w:rPr/>
        <w:t>Info naar en vanuit de gemeente wordt gedeeld op de jaarlijkse Algemene Ledenvergadering en diverse te houden Gemeenteavonden.</w:t>
      </w:r>
    </w:p>
    <w:p>
      <w:pPr>
        <w:pStyle w:val="Normal"/>
        <w:rPr/>
      </w:pPr>
      <w:r>
        <w:rPr/>
      </w:r>
    </w:p>
    <w:p>
      <w:pPr>
        <w:pStyle w:val="Normal"/>
        <w:rPr>
          <w:b/>
          <w:bCs/>
        </w:rPr>
      </w:pPr>
      <w:r>
        <w:rPr>
          <w:b/>
          <w:bCs/>
        </w:rPr>
        <w:t>PRIORITEITEN</w:t>
      </w:r>
    </w:p>
    <w:p>
      <w:pPr>
        <w:pStyle w:val="Normal"/>
        <w:rPr>
          <w:b/>
          <w:bCs/>
        </w:rPr>
      </w:pPr>
      <w:r>
        <w:rPr>
          <w:b/>
          <w:bCs/>
        </w:rPr>
      </w:r>
    </w:p>
    <w:p>
      <w:pPr>
        <w:pStyle w:val="ListParagraph"/>
        <w:numPr>
          <w:ilvl w:val="0"/>
          <w:numId w:val="2"/>
        </w:numPr>
        <w:rPr/>
      </w:pPr>
      <w:r>
        <w:rPr/>
        <w:t>Vacature predikant opstellen en invullen. Wij denken aan een predikant met Universitaire / HBO opleiding en een werkverband van 0,5 - 0,7 FTE tot minimaal 2030.</w:t>
      </w:r>
    </w:p>
    <w:p>
      <w:pPr>
        <w:pStyle w:val="ListParagraph"/>
        <w:numPr>
          <w:ilvl w:val="0"/>
          <w:numId w:val="2"/>
        </w:numPr>
        <w:rPr/>
      </w:pPr>
      <w:r>
        <w:rPr/>
        <w:t>Het aantrekkelijk houden van Kerkgebouw en Uniecentrum</w:t>
      </w:r>
      <w:r>
        <w:rPr>
          <w:bCs/>
        </w:rPr>
        <w:t>: Interieurcommissie, Commissie Uniekerk 2030 en Vereniging Evangelische Unie.</w:t>
      </w:r>
    </w:p>
    <w:p>
      <w:pPr>
        <w:pStyle w:val="ListParagraph"/>
        <w:numPr>
          <w:ilvl w:val="0"/>
          <w:numId w:val="2"/>
        </w:numPr>
        <w:rPr/>
      </w:pPr>
      <w:r>
        <w:rPr>
          <w:bCs/>
        </w:rPr>
        <w:t>Vorm meer kader (verbreding); zoeken naar voorzitter en ouderling penningmeester</w:t>
      </w:r>
    </w:p>
    <w:p>
      <w:pPr>
        <w:pStyle w:val="Normal"/>
        <w:rPr>
          <w:b/>
          <w:bCs/>
        </w:rPr>
      </w:pPr>
      <w:r>
        <w:rPr>
          <w:b/>
          <w:bCs/>
        </w:rPr>
      </w:r>
    </w:p>
    <w:p>
      <w:pPr>
        <w:pStyle w:val="Normal"/>
        <w:rPr>
          <w:b/>
          <w:bCs/>
        </w:rPr>
      </w:pPr>
      <w:r>
        <w:rPr>
          <w:b/>
          <w:bCs/>
        </w:rPr>
      </w:r>
    </w:p>
    <w:tbl>
      <w:tblPr>
        <w:tblW w:w="9747" w:type="dxa"/>
        <w:jc w:val="start"/>
        <w:tblInd w:w="-118" w:type="dxa"/>
        <w:tblLayout w:type="fixed"/>
        <w:tblCellMar>
          <w:top w:w="80" w:type="dxa"/>
          <w:start w:w="80" w:type="dxa"/>
          <w:bottom w:w="80" w:type="dxa"/>
          <w:end w:w="80" w:type="dxa"/>
        </w:tblCellMar>
        <w:tblLook w:noHBand="0" w:noVBand="0" w:firstColumn="0" w:lastRow="0" w:lastColumn="0" w:firstRow="0" w:val="0000"/>
      </w:tblPr>
      <w:tblGrid>
        <w:gridCol w:w="1951"/>
        <w:gridCol w:w="1984"/>
        <w:gridCol w:w="1843"/>
        <w:gridCol w:w="1843"/>
        <w:gridCol w:w="2126"/>
      </w:tblGrid>
      <w:tr>
        <w:trPr/>
        <w:tc>
          <w:tcPr>
            <w:tcW w:w="1951" w:type="dxa"/>
            <w:tcBorders>
              <w:top w:val="single" w:sz="8" w:space="0" w:color="000000"/>
              <w:start w:val="single" w:sz="8" w:space="0" w:color="000000"/>
              <w:bottom w:val="single" w:sz="8" w:space="0" w:color="000000"/>
              <w:end w:val="single" w:sz="8" w:space="0" w:color="000000"/>
            </w:tcBorders>
            <w:shd w:color="auto" w:fill="B0B3B2" w:val="clear"/>
          </w:tcPr>
          <w:p>
            <w:pPr>
              <w:pStyle w:val="Normal"/>
              <w:rPr/>
            </w:pPr>
            <w:r>
              <w:rPr/>
            </w:r>
          </w:p>
        </w:tc>
        <w:tc>
          <w:tcPr>
            <w:tcW w:w="1984" w:type="dxa"/>
            <w:tcBorders>
              <w:top w:val="single" w:sz="8" w:space="0" w:color="000000"/>
              <w:start w:val="single" w:sz="8" w:space="0" w:color="000000"/>
              <w:bottom w:val="single" w:sz="8" w:space="0" w:color="000000"/>
              <w:end w:val="single" w:sz="8" w:space="0" w:color="000000"/>
            </w:tcBorders>
            <w:shd w:color="auto" w:fill="B0B3B2" w:val="clear"/>
          </w:tcPr>
          <w:p>
            <w:pPr>
              <w:pStyle w:val="Normal"/>
              <w:rPr/>
            </w:pPr>
            <w:r>
              <w:rPr/>
            </w:r>
          </w:p>
        </w:tc>
        <w:tc>
          <w:tcPr>
            <w:tcW w:w="1843" w:type="dxa"/>
            <w:tcBorders>
              <w:top w:val="single" w:sz="8" w:space="0" w:color="000000"/>
              <w:start w:val="single" w:sz="8" w:space="0" w:color="000000"/>
              <w:bottom w:val="single" w:sz="8" w:space="0" w:color="000000"/>
              <w:end w:val="single" w:sz="8" w:space="0" w:color="000000"/>
            </w:tcBorders>
            <w:shd w:color="auto" w:fill="B0B3B2" w:val="clear"/>
          </w:tcPr>
          <w:p>
            <w:pPr>
              <w:pStyle w:val="Normal"/>
              <w:rPr>
                <w:b/>
                <w:bCs/>
              </w:rPr>
            </w:pPr>
            <w:r>
              <w:rPr>
                <w:b/>
                <w:bCs/>
              </w:rPr>
              <w:t>MISSIONAIR</w:t>
            </w:r>
          </w:p>
        </w:tc>
        <w:tc>
          <w:tcPr>
            <w:tcW w:w="1843" w:type="dxa"/>
            <w:tcBorders>
              <w:top w:val="single" w:sz="8" w:space="0" w:color="000000"/>
              <w:start w:val="single" w:sz="8" w:space="0" w:color="000000"/>
              <w:bottom w:val="single" w:sz="8" w:space="0" w:color="000000"/>
              <w:end w:val="single" w:sz="8" w:space="0" w:color="000000"/>
            </w:tcBorders>
            <w:shd w:color="auto" w:fill="B0B3B2" w:val="clear"/>
          </w:tcPr>
          <w:p>
            <w:pPr>
              <w:pStyle w:val="Normal"/>
              <w:rPr>
                <w:b/>
                <w:bCs/>
              </w:rPr>
            </w:pPr>
            <w:r>
              <w:rPr>
                <w:b/>
                <w:bCs/>
              </w:rPr>
              <w:t>MISSIONAIR</w:t>
            </w:r>
          </w:p>
        </w:tc>
        <w:tc>
          <w:tcPr>
            <w:tcW w:w="2126" w:type="dxa"/>
            <w:tcBorders>
              <w:top w:val="single" w:sz="8" w:space="0" w:color="000000"/>
              <w:start w:val="single" w:sz="8" w:space="0" w:color="000000"/>
              <w:bottom w:val="single" w:sz="8" w:space="0" w:color="000000"/>
              <w:end w:val="single" w:sz="8" w:space="0" w:color="000000"/>
            </w:tcBorders>
            <w:shd w:color="auto" w:fill="B0B3B2" w:val="clear"/>
          </w:tcPr>
          <w:p>
            <w:pPr>
              <w:pStyle w:val="Normal"/>
              <w:rPr>
                <w:highlight w:val="yellow"/>
              </w:rPr>
            </w:pPr>
            <w:r>
              <w:rPr>
                <w:highlight w:val="yellow"/>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EREDIENST</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PASTORAAT</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VORMING &amp; TOERUSTING</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DIACONIE</w:t>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t>JEUGDWERK n.v.t.</w:t>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liturgiecommissie</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 xml:space="preserve">organisatie pastoraat </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thema’s aandragen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liturgische functie</w:t>
            </w:r>
          </w:p>
          <w:p>
            <w:pPr>
              <w:pStyle w:val="Normal"/>
              <w:rPr/>
            </w:pPr>
            <w:r>
              <w:rPr/>
              <w:t>(o.a. avondmaal, uitvaarten, De Kreek)</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opstellen van het preekrooster</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aandacht op de kruispunten van het leven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ontwikkelen van een jaarprogramma voor alle leeftijden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Raad van Kerken</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opstellen van rooster ouderling van dienst</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activiteiten voor verschillende leeftijdsgroepen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 xml:space="preserve">activiteiten van/voor buitenstaanders </w:t>
            </w:r>
          </w:p>
          <w:p>
            <w:pPr>
              <w:pStyle w:val="Normal"/>
              <w:rPr/>
            </w:pPr>
            <w:r>
              <w:rPr/>
              <w:t>(stiltecentrum, muziek, etc.)</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hospice</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contact met de gastvoorgangers</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Verjaardagsfonds (kinderkaarten)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kopij aanleveren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Diaconaal Westlands Platform</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mededelingen eredienst opstellen</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leden-administratie</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uitnodigingen activiteiten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bezoek Roosevelthuis</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 xml:space="preserve">commissie “Beeld en Geluid” </w:t>
            </w:r>
          </w:p>
        </w:tc>
        <w:tc>
          <w:tcPr>
            <w:tcW w:w="1984"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kringen verschillende</w:t>
            </w:r>
          </w:p>
          <w:p>
            <w:pPr>
              <w:pStyle w:val="Normal"/>
              <w:rPr/>
            </w:pPr>
            <w:r>
              <w:rPr/>
              <w:t>leeftijden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kringen verschillende</w:t>
            </w:r>
          </w:p>
          <w:p>
            <w:pPr>
              <w:pStyle w:val="Normal"/>
              <w:rPr/>
            </w:pPr>
            <w:r>
              <w:rPr/>
              <w:t>leeftijden</w:t>
            </w:r>
          </w:p>
        </w:tc>
        <w:tc>
          <w:tcPr>
            <w:tcW w:w="1843"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pPr>
            <w:r>
              <w:rPr/>
              <w:t>bestemming collecten</w:t>
            </w:r>
          </w:p>
          <w:p>
            <w:pPr>
              <w:pStyle w:val="Normal"/>
              <w:rPr/>
            </w:pPr>
            <w:r>
              <w:rPr/>
              <w:t>(GAC)</w:t>
            </w:r>
          </w:p>
        </w:tc>
        <w:tc>
          <w:tcPr>
            <w:tcW w:w="2126" w:type="dxa"/>
            <w:tcBorders>
              <w:top w:val="single" w:sz="8" w:space="0" w:color="000000"/>
              <w:start w:val="single" w:sz="8" w:space="0" w:color="000000"/>
              <w:bottom w:val="single" w:sz="8" w:space="0" w:color="000000"/>
              <w:end w:val="single" w:sz="8" w:space="0" w:color="000000"/>
            </w:tcBorders>
            <w:shd w:color="auto" w:fill="FFFFFF" w:val="clear"/>
          </w:tcPr>
          <w:p>
            <w:pPr>
              <w:pStyle w:val="Normal"/>
              <w:rPr>
                <w:lang w:val="sv-SE"/>
              </w:rPr>
            </w:pPr>
            <w:r>
              <w:rPr>
                <w:lang w:val="sv-SE"/>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 xml:space="preserve">PR van de erediensten </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 xml:space="preserve">PR naar binnen en buiten </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verspreiding vrijzinnig gedachtegoed</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attenties Sonnevanck en De Kreek</w:t>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uitnodigen en contact met de organisten</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website</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contact provinciale en landelijke vrijzinnigheid</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bazarcommissie</w:t>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opstellen van bloemenrooster</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bloemendienst</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regionale vrijzinnige activiteiten</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contact met de interieurcom-missie</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activiteiten van het Pastorale team</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stimuleren van ontwikkelen van beleid</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r>
          </w:p>
        </w:tc>
      </w:tr>
      <w:tr>
        <w:trPr/>
        <w:tc>
          <w:tcPr>
            <w:tcW w:w="1951" w:type="dxa"/>
            <w:tcBorders>
              <w:top w:val="single" w:sz="8" w:space="0" w:color="000000"/>
              <w:start w:val="single" w:sz="8" w:space="0" w:color="000000"/>
              <w:bottom w:val="single" w:sz="8" w:space="0" w:color="000000"/>
              <w:end w:val="single" w:sz="8" w:space="0" w:color="000000"/>
            </w:tcBorders>
          </w:tcPr>
          <w:p>
            <w:pPr>
              <w:pStyle w:val="Normal"/>
              <w:rPr/>
            </w:pPr>
            <w:r>
              <w:rPr/>
              <w:t>contact met de kosteres (veranderingen en organisatie koffie na de dienst, etc.)</w:t>
            </w:r>
          </w:p>
        </w:tc>
        <w:tc>
          <w:tcPr>
            <w:tcW w:w="1984" w:type="dxa"/>
            <w:tcBorders>
              <w:top w:val="single" w:sz="8" w:space="0" w:color="000000"/>
              <w:start w:val="single" w:sz="8" w:space="0" w:color="000000"/>
              <w:bottom w:val="single" w:sz="8" w:space="0" w:color="000000"/>
              <w:end w:val="single" w:sz="8" w:space="0" w:color="000000"/>
            </w:tcBorders>
          </w:tcPr>
          <w:p>
            <w:pPr>
              <w:pStyle w:val="Normal"/>
              <w:rPr/>
            </w:pPr>
            <w:r>
              <w:rPr/>
              <w:t>kerkblad: kopij en rondbrengen</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kerkenraads-vergadering</w:t>
            </w:r>
          </w:p>
        </w:tc>
        <w:tc>
          <w:tcPr>
            <w:tcW w:w="1843" w:type="dxa"/>
            <w:tcBorders>
              <w:top w:val="single" w:sz="8" w:space="0" w:color="000000"/>
              <w:start w:val="single" w:sz="8" w:space="0" w:color="000000"/>
              <w:bottom w:val="single" w:sz="8" w:space="0" w:color="000000"/>
              <w:end w:val="single" w:sz="8" w:space="0" w:color="000000"/>
            </w:tcBorders>
          </w:tcPr>
          <w:p>
            <w:pPr>
              <w:pStyle w:val="Normal"/>
              <w:rPr/>
            </w:pPr>
            <w:r>
              <w:rPr/>
              <w:t xml:space="preserve">openstelling kerkgebouw </w:t>
            </w:r>
          </w:p>
          <w:p>
            <w:pPr>
              <w:pStyle w:val="Normal"/>
              <w:rPr/>
            </w:pPr>
            <w:r>
              <w:rPr/>
              <w:t>(stiltecentrum, open  monumenten-dag</w:t>
            </w:r>
          </w:p>
          <w:p>
            <w:pPr>
              <w:pStyle w:val="Normal"/>
              <w:rPr/>
            </w:pPr>
            <w:r>
              <w:rPr/>
              <w:t>kom in de kerk)</w:t>
            </w:r>
          </w:p>
        </w:tc>
        <w:tc>
          <w:tcPr>
            <w:tcW w:w="2126" w:type="dxa"/>
            <w:tcBorders>
              <w:top w:val="single" w:sz="8" w:space="0" w:color="000000"/>
              <w:start w:val="single" w:sz="8" w:space="0" w:color="000000"/>
              <w:bottom w:val="single" w:sz="8" w:space="0" w:color="000000"/>
              <w:end w:val="single" w:sz="8" w:space="0" w:color="000000"/>
            </w:tcBorders>
          </w:tcPr>
          <w:p>
            <w:pPr>
              <w:pStyle w:val="Normal"/>
              <w:rPr/>
            </w:pPr>
            <w:r>
              <w:rPr/>
            </w:r>
          </w:p>
        </w:tc>
      </w:tr>
    </w:tbl>
    <w:p>
      <w:pPr>
        <w:pStyle w:val="Normal"/>
        <w:rPr>
          <w:b/>
          <w:bCs/>
        </w:rPr>
      </w:pPr>
      <w:r>
        <w:rPr>
          <w:b/>
          <w:bCs/>
        </w:rPr>
      </w:r>
    </w:p>
    <w:p>
      <w:pPr>
        <w:pStyle w:val="Normal"/>
        <w:rPr>
          <w:b/>
          <w:bCs/>
        </w:rPr>
      </w:pPr>
      <w:r>
        <w:rPr>
          <w:b/>
          <w:bCs/>
        </w:rPr>
      </w:r>
    </w:p>
    <w:p>
      <w:pPr>
        <w:pStyle w:val="Normal"/>
        <w:rPr/>
      </w:pPr>
      <w:r>
        <w:rPr/>
      </w:r>
    </w:p>
    <w:p>
      <w:pPr>
        <w:pStyle w:val="Normal"/>
        <w:rPr>
          <w:b/>
        </w:rPr>
      </w:pPr>
      <w:r>
        <w:rPr>
          <w:b/>
        </w:rPr>
        <w:t>Tenslotte</w:t>
      </w:r>
    </w:p>
    <w:p>
      <w:pPr>
        <w:pStyle w:val="Normal"/>
        <w:rPr>
          <w:b/>
        </w:rPr>
      </w:pPr>
      <w:r>
        <w:rPr>
          <w:b/>
        </w:rPr>
      </w:r>
    </w:p>
    <w:p>
      <w:pPr>
        <w:pStyle w:val="Normal"/>
        <w:rPr>
          <w:rFonts w:ascii="Calibri" w:hAnsi="Calibri" w:cs="Arial"/>
        </w:rPr>
      </w:pPr>
      <w:r>
        <w:rPr>
          <w:rFonts w:cs="Arial" w:ascii="Calibri" w:hAnsi="Calibri"/>
        </w:rPr>
        <w:t>De Kerkenraad is van mening dat de Uniekerk nog minimaal tot 2030 bestaansrecht heeft.</w:t>
      </w:r>
    </w:p>
    <w:p>
      <w:pPr>
        <w:pStyle w:val="Normal"/>
        <w:rPr>
          <w:rFonts w:ascii="Calibri" w:hAnsi="Calibri" w:cs="Arial"/>
        </w:rPr>
      </w:pPr>
      <w:r>
        <w:rPr>
          <w:rFonts w:cs="Arial" w:ascii="Calibri" w:hAnsi="Calibri"/>
        </w:rPr>
        <w:t xml:space="preserve">Niet alleen uitgaande van de bezoekersaantallen tijdens de zondagse Erediensten maar de </w:t>
      </w:r>
    </w:p>
    <w:p>
      <w:pPr>
        <w:pStyle w:val="Normal"/>
        <w:rPr>
          <w:rFonts w:ascii="Calibri" w:hAnsi="Calibri" w:cs="Arial"/>
        </w:rPr>
      </w:pPr>
      <w:r>
        <w:rPr>
          <w:rFonts w:cs="Arial" w:ascii="Calibri" w:hAnsi="Calibri"/>
        </w:rPr>
        <w:t xml:space="preserve">vele doordeweekse activiteiten in de Kerkzaal en het Uniecentrum voor zowel de eigen leden </w:t>
      </w:r>
    </w:p>
    <w:p>
      <w:pPr>
        <w:pStyle w:val="Normal"/>
        <w:rPr>
          <w:rFonts w:ascii="Calibri" w:hAnsi="Calibri" w:cs="Arial"/>
        </w:rPr>
      </w:pPr>
      <w:r>
        <w:rPr>
          <w:rFonts w:cs="Arial" w:ascii="Calibri" w:hAnsi="Calibri"/>
        </w:rPr>
        <w:t xml:space="preserve">als ’s-Gravenzande breed bewijzen dit.  De Uniekerk is van Geestelijk en Maatschappelijk belang zowel binnen de eigen gemeente als binnen het Samenwerkingsverband Vrijzinnig Westland, </w:t>
      </w:r>
    </w:p>
    <w:p>
      <w:pPr>
        <w:pStyle w:val="Normal"/>
        <w:rPr>
          <w:rFonts w:ascii="Calibri" w:hAnsi="Calibri" w:cs="Arial"/>
        </w:rPr>
      </w:pPr>
      <w:r>
        <w:rPr>
          <w:rFonts w:cs="Arial" w:ascii="Calibri" w:hAnsi="Calibri"/>
        </w:rPr>
        <w:t xml:space="preserve">de Vereniging van Vrijzinnig Protestanten, de Protestantse Gemeente ’s-Gravenzande, </w:t>
      </w:r>
    </w:p>
    <w:p>
      <w:pPr>
        <w:pStyle w:val="Normal"/>
        <w:rPr>
          <w:rFonts w:ascii="Calibri" w:hAnsi="Calibri" w:cs="Arial"/>
        </w:rPr>
      </w:pPr>
      <w:r>
        <w:rPr>
          <w:rFonts w:cs="Arial" w:ascii="Calibri" w:hAnsi="Calibri"/>
        </w:rPr>
        <w:t xml:space="preserve">de burgerlijke gemeente ’s-Gravenzande en daarbuiten. </w:t>
      </w:r>
    </w:p>
    <w:p>
      <w:pPr>
        <w:pStyle w:val="Normal"/>
        <w:rPr>
          <w:rFonts w:ascii="Calibri" w:hAnsi="Calibri" w:cs="Arial"/>
        </w:rPr>
      </w:pPr>
      <w:r>
        <w:rPr>
          <w:rFonts w:cs="Arial" w:ascii="Calibri" w:hAnsi="Calibri"/>
        </w:rPr>
      </w:r>
    </w:p>
    <w:p>
      <w:pPr>
        <w:pStyle w:val="Normal"/>
        <w:rPr>
          <w:rFonts w:ascii="Calibri" w:hAnsi="Calibri" w:cs="Arial"/>
          <w:b/>
          <w:bCs/>
        </w:rPr>
      </w:pPr>
      <w:r>
        <w:rPr>
          <w:rFonts w:cs="Arial" w:ascii="Calibri" w:hAnsi="Calibri"/>
          <w:b/>
          <w:bCs/>
        </w:rPr>
        <w:t>Denk aan:</w:t>
      </w:r>
    </w:p>
    <w:p>
      <w:pPr>
        <w:pStyle w:val="Normal"/>
        <w:rPr>
          <w:rFonts w:ascii="Calibri" w:hAnsi="Calibri" w:cs="Arial"/>
          <w:b/>
          <w:bCs/>
        </w:rPr>
      </w:pPr>
      <w:r>
        <w:rPr>
          <w:rFonts w:cs="Arial" w:ascii="Calibri" w:hAnsi="Calibri"/>
          <w:b/>
          <w:bCs/>
        </w:rPr>
      </w:r>
    </w:p>
    <w:p>
      <w:pPr>
        <w:pStyle w:val="Normal"/>
        <w:rPr>
          <w:rFonts w:ascii="Calibri" w:hAnsi="Calibri" w:cs="Arial"/>
          <w:b/>
          <w:bCs/>
        </w:rPr>
      </w:pPr>
      <w:r>
        <w:rPr>
          <w:rFonts w:cs="Arial" w:ascii="Calibri" w:hAnsi="Calibri"/>
          <w:b/>
          <w:bCs/>
        </w:rPr>
        <w:t>Intern</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 Erediensten</w:t>
      </w:r>
    </w:p>
    <w:p>
      <w:pPr>
        <w:pStyle w:val="Normal"/>
        <w:rPr>
          <w:rFonts w:ascii="Calibri" w:hAnsi="Calibri" w:cs="Arial"/>
        </w:rPr>
      </w:pPr>
      <w:r>
        <w:rPr>
          <w:rFonts w:cs="Arial" w:ascii="Calibri" w:hAnsi="Calibri"/>
        </w:rPr>
        <w:t>- Barbecue</w:t>
      </w:r>
    </w:p>
    <w:p>
      <w:pPr>
        <w:pStyle w:val="Normal"/>
        <w:rPr>
          <w:rFonts w:ascii="Calibri" w:hAnsi="Calibri" w:cs="Arial"/>
        </w:rPr>
      </w:pPr>
      <w:r>
        <w:rPr>
          <w:rFonts w:cs="Arial" w:ascii="Calibri" w:hAnsi="Calibri"/>
        </w:rPr>
        <w:t>- Bazaar</w:t>
      </w:r>
    </w:p>
    <w:p>
      <w:pPr>
        <w:pStyle w:val="Normal"/>
        <w:rPr>
          <w:rFonts w:ascii="Calibri" w:hAnsi="Calibri" w:cs="Arial"/>
        </w:rPr>
      </w:pPr>
      <w:r>
        <w:rPr>
          <w:rFonts w:cs="Arial" w:ascii="Calibri" w:hAnsi="Calibri"/>
        </w:rPr>
        <w:t>- Zin in Ouderdom</w:t>
      </w:r>
    </w:p>
    <w:p>
      <w:pPr>
        <w:pStyle w:val="Normal"/>
        <w:rPr>
          <w:rFonts w:ascii="Calibri" w:hAnsi="Calibri" w:cs="Arial"/>
        </w:rPr>
      </w:pPr>
      <w:r>
        <w:rPr>
          <w:rFonts w:cs="Arial" w:ascii="Calibri" w:hAnsi="Calibri"/>
        </w:rPr>
        <w:t>- Uitvaarten</w:t>
      </w:r>
    </w:p>
    <w:p>
      <w:pPr>
        <w:pStyle w:val="Normal"/>
        <w:rPr>
          <w:rFonts w:ascii="Calibri" w:hAnsi="Calibri" w:cs="Arial"/>
        </w:rPr>
      </w:pPr>
      <w:r>
        <w:rPr>
          <w:rFonts w:cs="Arial" w:ascii="Calibri" w:hAnsi="Calibri"/>
        </w:rPr>
        <w:t>- Oefenruimte Canto Libre</w:t>
      </w:r>
    </w:p>
    <w:p>
      <w:pPr>
        <w:pStyle w:val="Normal"/>
        <w:rPr>
          <w:rFonts w:ascii="Calibri" w:hAnsi="Calibri" w:cs="Arial"/>
        </w:rPr>
      </w:pPr>
      <w:r>
        <w:rPr>
          <w:rFonts w:cs="Arial" w:ascii="Calibri" w:hAnsi="Calibri"/>
        </w:rPr>
        <w:t>- Uitvoering Couleur Vocale</w:t>
      </w:r>
    </w:p>
    <w:p>
      <w:pPr>
        <w:pStyle w:val="Normal"/>
        <w:rPr>
          <w:rFonts w:ascii="Calibri" w:hAnsi="Calibri" w:cs="Arial"/>
        </w:rPr>
      </w:pPr>
      <w:r>
        <w:rPr>
          <w:rFonts w:cs="Arial" w:ascii="Calibri" w:hAnsi="Calibri"/>
        </w:rPr>
        <w:t>- Talloze vergaderingen intern (Kerkenraad, Ledenvergadering, Liturgiecommissie etc.)</w:t>
      </w:r>
    </w:p>
    <w:p>
      <w:pPr>
        <w:pStyle w:val="Normal"/>
        <w:rPr>
          <w:rFonts w:ascii="Calibri" w:hAnsi="Calibri" w:cs="Arial"/>
        </w:rPr>
      </w:pPr>
      <w:r>
        <w:rPr>
          <w:rFonts w:cs="Arial" w:ascii="Calibri" w:hAnsi="Calibri"/>
        </w:rPr>
      </w:r>
    </w:p>
    <w:p>
      <w:pPr>
        <w:pStyle w:val="Normal"/>
        <w:rPr>
          <w:rFonts w:ascii="Calibri" w:hAnsi="Calibri" w:cs="Arial"/>
          <w:b/>
          <w:bCs/>
        </w:rPr>
      </w:pPr>
      <w:r>
        <w:rPr>
          <w:rFonts w:cs="Arial" w:ascii="Calibri" w:hAnsi="Calibri"/>
          <w:b/>
          <w:bCs/>
        </w:rPr>
        <w:t>Extern</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 Cultuurverbinders (BIZ ’s-Gravenzande)</w:t>
      </w:r>
    </w:p>
    <w:p>
      <w:pPr>
        <w:pStyle w:val="Normal"/>
        <w:rPr>
          <w:rFonts w:ascii="Calibri" w:hAnsi="Calibri" w:cs="Arial"/>
        </w:rPr>
      </w:pPr>
      <w:r>
        <w:rPr>
          <w:rFonts w:cs="Arial" w:ascii="Calibri" w:hAnsi="Calibri"/>
        </w:rPr>
        <w:t>- Verkleedruimte Vossenjacht (R.v.K.)</w:t>
      </w:r>
    </w:p>
    <w:p>
      <w:pPr>
        <w:pStyle w:val="Normal"/>
        <w:rPr>
          <w:rFonts w:ascii="Calibri" w:hAnsi="Calibri" w:cs="Arial"/>
        </w:rPr>
      </w:pPr>
      <w:r>
        <w:rPr>
          <w:rFonts w:cs="Arial" w:ascii="Calibri" w:hAnsi="Calibri"/>
        </w:rPr>
        <w:t>- Kindertheater Braderiedienst (R.v.K.)</w:t>
      </w:r>
    </w:p>
    <w:p>
      <w:pPr>
        <w:pStyle w:val="Normal"/>
        <w:rPr>
          <w:rFonts w:ascii="Calibri" w:hAnsi="Calibri" w:cs="Arial"/>
        </w:rPr>
      </w:pPr>
      <w:r>
        <w:rPr>
          <w:rFonts w:cs="Arial" w:ascii="Calibri" w:hAnsi="Calibri"/>
        </w:rPr>
        <w:t>- Verkleedruimte Modeshow (BIZ ’s-Gravenzande)</w:t>
      </w:r>
    </w:p>
    <w:p>
      <w:pPr>
        <w:pStyle w:val="Normal"/>
        <w:rPr>
          <w:rFonts w:ascii="Calibri" w:hAnsi="Calibri" w:cs="Arial"/>
        </w:rPr>
      </w:pPr>
      <w:r>
        <w:rPr>
          <w:rFonts w:cs="Arial" w:ascii="Calibri" w:hAnsi="Calibri"/>
        </w:rPr>
        <w:t>- Open Monumentendag (Monumentaal Westland)</w:t>
      </w:r>
    </w:p>
    <w:p>
      <w:pPr>
        <w:pStyle w:val="Normal"/>
        <w:rPr>
          <w:rFonts w:ascii="Calibri" w:hAnsi="Calibri" w:cs="Arial"/>
        </w:rPr>
      </w:pPr>
      <w:r>
        <w:rPr>
          <w:rFonts w:cs="Arial" w:ascii="Calibri" w:hAnsi="Calibri"/>
        </w:rPr>
        <w:t>- Corona vaccinatie (GGD Haaglanden)</w:t>
      </w:r>
    </w:p>
    <w:p>
      <w:pPr>
        <w:pStyle w:val="Normal"/>
        <w:rPr>
          <w:rFonts w:ascii="Calibri" w:hAnsi="Calibri" w:cs="Arial"/>
        </w:rPr>
      </w:pPr>
      <w:r>
        <w:rPr>
          <w:rFonts w:cs="Arial" w:ascii="Calibri" w:hAnsi="Calibri"/>
        </w:rPr>
        <w:t>- Kledinginzameling</w:t>
      </w:r>
    </w:p>
    <w:p>
      <w:pPr>
        <w:pStyle w:val="Normal"/>
        <w:rPr>
          <w:rFonts w:ascii="Calibri" w:hAnsi="Calibri" w:cs="Arial"/>
        </w:rPr>
      </w:pPr>
      <w:r>
        <w:rPr>
          <w:rFonts w:cs="Arial" w:ascii="Calibri" w:hAnsi="Calibri"/>
        </w:rPr>
        <w:t>- Diverse vergaderingen extern (VVP, Ministerie, Braderiedienst, Open Monumentendag etc.)</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 xml:space="preserve">Vóór 2030 zal een definitieve keuze moeten worden gemaakt. Tot die tijd zullen Kerkzaal, Uniecentrum, Pastorie en Kosterswoning moeten worden beheerd en onderhouden. Daarna </w:t>
      </w:r>
    </w:p>
    <w:p>
      <w:pPr>
        <w:pStyle w:val="Normal"/>
        <w:rPr>
          <w:rFonts w:ascii="Calibri" w:hAnsi="Calibri" w:cs="Arial"/>
        </w:rPr>
      </w:pPr>
      <w:r>
        <w:rPr>
          <w:rFonts w:cs="Arial" w:ascii="Calibri" w:hAnsi="Calibri"/>
        </w:rPr>
        <w:t xml:space="preserve">is verkoop van het vastgoed en de grond aan een projectontwikkelaar meest voor de hand liggend.  Afhankelijk van het aantal leden zal dan besloten moeten worden of bij een eventuele nieuwbouw (tijdelijke) ruimte voor Erediensten en vergaderingen nog noodzakelijk is. Vanwege de jaren die met alle procedures en bouwtijd zullen verstrijken is het dan wellicht praktisch de resterende gemeenteleden onder begeleiding van een adviseur dienstverlening van de PKN te laten kiezen voor aansluiting bij het Samenwerkingsverband Vrijzinnig Westland </w:t>
      </w:r>
    </w:p>
    <w:p>
      <w:pPr>
        <w:pStyle w:val="Normal"/>
        <w:rPr>
          <w:rFonts w:ascii="Calibri" w:hAnsi="Calibri" w:cs="Arial"/>
        </w:rPr>
      </w:pPr>
      <w:r>
        <w:rPr>
          <w:rFonts w:cs="Arial" w:ascii="Calibri" w:hAnsi="Calibri"/>
        </w:rPr>
        <w:t>of de Protestantse Gemeente ’s-Gravenzande.</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Geactualiseerd: 24 Juni 2024</w:t>
      </w:r>
    </w:p>
    <w:p>
      <w:pPr>
        <w:pStyle w:val="Normal"/>
        <w:rPr>
          <w:rFonts w:ascii="Calibri" w:hAnsi="Calibri" w:cs="Arial"/>
        </w:rPr>
      </w:pPr>
      <w:r>
        <w:rPr>
          <w:rFonts w:cs="Arial" w:ascii="Calibri" w:hAnsi="Calibri"/>
        </w:rPr>
      </w:r>
    </w:p>
    <w:p>
      <w:pPr>
        <w:pStyle w:val="Normal"/>
        <w:rPr>
          <w:rFonts w:ascii="Calibri" w:hAnsi="Calibri" w:cs="Arial"/>
        </w:rPr>
      </w:pPr>
      <w:r>
        <w:rPr>
          <w:rFonts w:cs="Arial" w:ascii="Calibri" w:hAnsi="Calibri"/>
        </w:rPr>
        <w:t>Nico Vreugdenhil</w:t>
      </w:r>
    </w:p>
    <w:sectPr>
      <w:footerReference w:type="even" r:id="rId3"/>
      <w:footerReference w:type="default" r:id="rId4"/>
      <w:footerReference w:type="first" r:id="rId5"/>
      <w:type w:val="nextPage"/>
      <w:pgSz w:w="12240" w:h="15840"/>
      <w:pgMar w:left="1417" w:right="1417" w:gutter="0" w:header="0" w:top="1417" w:footer="708" w:bottom="141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Calibri">
    <w:charset w:val="01" w:characterSet="utf-8"/>
    <w:family w:val="swiss"/>
    <w:pitch w:val="variable"/>
  </w:font>
  <w:font w:name="Times New Roman">
    <w:charset w:val="01" w:characterSet="utf-8"/>
    <w:family w:val="roman"/>
    <w:pitch w:val="variable"/>
  </w:font>
  <w:font w:name="Aptos Narrow">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0" behindDoc="0" locked="0" layoutInCell="1" allowOverlap="1">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id w:val="-898441642"/>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sdt>
                    <w:sdtPr>
                      <w:id w:val="-898441642"/>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12" behindDoc="0" locked="0" layoutInCell="0" allowOverlap="1">
              <wp:simplePos x="0" y="0"/>
              <wp:positionH relativeFrom="margin">
                <wp:align>center</wp:align>
              </wp:positionH>
              <wp:positionV relativeFrom="paragraph">
                <wp:posOffset>635</wp:posOffset>
              </wp:positionV>
              <wp:extent cx="154940" cy="186055"/>
              <wp:effectExtent l="0" t="0" r="0" b="0"/>
              <wp:wrapNone/>
              <wp:docPr id="3" name="Frame2"/>
              <a:graphic xmlns:a="http://schemas.openxmlformats.org/drawingml/2006/main">
                <a:graphicData uri="http://schemas.microsoft.com/office/word/2010/wordprocessingShape">
                  <wps:wsp>
                    <wps:cNvSpPr txBox="1"/>
                    <wps:spPr>
                      <a:xfrm>
                        <a:off x="0" y="0"/>
                        <a:ext cx="154940" cy="186055"/>
                      </a:xfrm>
                      <a:prstGeom prst="rect"/>
                      <a:solidFill>
                        <a:srgbClr val="FFFFFF">
                          <a:alpha val="0"/>
                        </a:srgbClr>
                      </a:solidFill>
                    </wps:spPr>
                    <wps:txbx>
                      <w:txbxContent>
                        <w:sdt>
                          <w:sdtPr>
                            <w:id w:val="-327449233"/>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2.2pt;height:14.65pt;mso-wrap-distance-left:0pt;mso-wrap-distance-right:0pt;mso-wrap-distance-top:0pt;mso-wrap-distance-bottom:0pt;margin-top:0.05pt;mso-position-vertical-relative:text;margin-left:229.05pt;mso-position-horizontal:center;mso-position-horizontal-relative:margin">
              <v:fill opacity="0f"/>
              <v:textbox inset="0in,0in,0in,0in">
                <w:txbxContent>
                  <w:sdt>
                    <w:sdtPr>
                      <w:id w:val="-327449233"/>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distT="0" distB="0" distL="0" distR="0" simplePos="0" relativeHeight="12" behindDoc="0" locked="0" layoutInCell="0" allowOverlap="1">
              <wp:simplePos x="0" y="0"/>
              <wp:positionH relativeFrom="margin">
                <wp:align>center</wp:align>
              </wp:positionH>
              <wp:positionV relativeFrom="paragraph">
                <wp:posOffset>635</wp:posOffset>
              </wp:positionV>
              <wp:extent cx="154940" cy="186055"/>
              <wp:effectExtent l="0" t="0" r="0" b="0"/>
              <wp:wrapNone/>
              <wp:docPr id="4" name="Frame2"/>
              <a:graphic xmlns:a="http://schemas.openxmlformats.org/drawingml/2006/main">
                <a:graphicData uri="http://schemas.microsoft.com/office/word/2010/wordprocessingShape">
                  <wps:wsp>
                    <wps:cNvSpPr txBox="1"/>
                    <wps:spPr>
                      <a:xfrm>
                        <a:off x="0" y="0"/>
                        <a:ext cx="154940" cy="186055"/>
                      </a:xfrm>
                      <a:prstGeom prst="rect"/>
                      <a:solidFill>
                        <a:srgbClr val="FFFFFF">
                          <a:alpha val="0"/>
                        </a:srgbClr>
                      </a:solidFill>
                    </wps:spPr>
                    <wps:txbx>
                      <w:txbxContent>
                        <w:sdt>
                          <w:sdtPr>
                            <w:id w:val="-327449233"/>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2.2pt;height:14.65pt;mso-wrap-distance-left:0pt;mso-wrap-distance-right:0pt;mso-wrap-distance-top:0pt;mso-wrap-distance-bottom:0pt;margin-top:0.05pt;mso-position-vertical-relative:text;margin-left:229.05pt;mso-position-horizontal:center;mso-position-horizontal-relative:margin">
              <v:fill opacity="0f"/>
              <v:textbox inset="0in,0in,0in,0in">
                <w:txbxContent>
                  <w:sdt>
                    <w:sdtPr>
                      <w:id w:val="-327449233"/>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sdtContent>
                  </w:sdt>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4"/>
        <w:szCs w:val="24"/>
        <w:lang w:val="nl-N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28a7"/>
    <w:pPr>
      <w:widowControl/>
      <w:bidi w:val="0"/>
      <w:spacing w:before="0" w:after="0"/>
      <w:jc w:val="start"/>
    </w:pPr>
    <w:rPr>
      <w:rFonts w:ascii="Calibri" w:hAnsi="Calibri" w:eastAsia="Calibri" w:cs="Arial" w:asciiTheme="minorHAnsi" w:cstheme="minorBidi" w:eastAsiaTheme="minorHAnsi" w:hAnsiTheme="minorHAnsi"/>
      <w:color w:val="auto"/>
      <w:kern w:val="0"/>
      <w:sz w:val="24"/>
      <w:szCs w:val="24"/>
      <w:lang w:val="nl-NL" w:eastAsia="en-US" w:bidi="ar-SA"/>
    </w:rPr>
  </w:style>
  <w:style w:type="character" w:styleId="DefaultParagraphFont" w:default="1">
    <w:name w:val="Default Paragraph Font"/>
    <w:uiPriority w:val="1"/>
    <w:semiHidden/>
    <w:unhideWhenUsed/>
    <w:qFormat/>
    <w:rPr/>
  </w:style>
  <w:style w:type="character" w:styleId="VoettekstChar" w:customStyle="1">
    <w:name w:val="Voettekst Char"/>
    <w:basedOn w:val="DefaultParagraphFont"/>
    <w:uiPriority w:val="99"/>
    <w:qFormat/>
    <w:rsid w:val="006f24fe"/>
    <w:rPr/>
  </w:style>
  <w:style w:type="character" w:styleId="PageNumber">
    <w:name w:val="page number"/>
    <w:basedOn w:val="DefaultParagraphFont"/>
    <w:uiPriority w:val="99"/>
    <w:semiHidden/>
    <w:unhideWhenUsed/>
    <w:rsid w:val="006f24fe"/>
    <w:rPr/>
  </w:style>
  <w:style w:type="character" w:styleId="Hyperlink">
    <w:name w:val="Hyperlink"/>
    <w:basedOn w:val="DefaultParagraphFont"/>
    <w:uiPriority w:val="99"/>
    <w:unhideWhenUsed/>
    <w:rsid w:val="00287a90"/>
    <w:rPr>
      <w:color w:themeColor="hyperlink" w:val="0563C1"/>
      <w:u w:val="single"/>
    </w:rPr>
  </w:style>
  <w:style w:type="character" w:styleId="UnresolvedMention">
    <w:name w:val="Unresolved Mention"/>
    <w:basedOn w:val="DefaultParagraphFont"/>
    <w:uiPriority w:val="99"/>
    <w:semiHidden/>
    <w:unhideWhenUsed/>
    <w:qFormat/>
    <w:rsid w:val="00287a90"/>
    <w:rPr>
      <w:color w:val="605E5C"/>
      <w:shd w:fill="E1DFDD" w:val="clear"/>
    </w:rPr>
  </w:style>
  <w:style w:type="paragraph" w:styleId="Kop">
    <w:name w:val="Kop"/>
    <w:basedOn w:val="Normal"/>
    <w:next w:val="BodyText"/>
    <w:qFormat/>
    <w:pPr>
      <w:keepNext w:val="true"/>
      <w:spacing w:before="240" w:after="120"/>
    </w:pPr>
    <w:rPr>
      <w:rFonts w:ascii="Liberation Sans" w:hAnsi="Liberation Sans" w:eastAsia="Noto Serif CJK H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Koptekstenvoettekst">
    <w:name w:val="Koptekst en voettekst"/>
    <w:basedOn w:val="Normal"/>
    <w:qFormat/>
    <w:pPr/>
    <w:rPr/>
  </w:style>
  <w:style w:type="paragraph" w:styleId="Footer">
    <w:name w:val="footer"/>
    <w:basedOn w:val="Normal"/>
    <w:link w:val="VoettekstChar"/>
    <w:uiPriority w:val="99"/>
    <w:unhideWhenUsed/>
    <w:rsid w:val="006f24fe"/>
    <w:pPr>
      <w:tabs>
        <w:tab w:val="clear" w:pos="708"/>
        <w:tab w:val="center" w:pos="4536" w:leader="none"/>
        <w:tab w:val="right" w:pos="9072" w:leader="none"/>
      </w:tabs>
    </w:pPr>
    <w:rPr/>
  </w:style>
  <w:style w:type="paragraph" w:styleId="ListParagraph">
    <w:name w:val="List Paragraph"/>
    <w:basedOn w:val="Normal"/>
    <w:uiPriority w:val="34"/>
    <w:qFormat/>
    <w:rsid w:val="00d33e4c"/>
    <w:pPr>
      <w:spacing w:before="0" w:after="0"/>
      <w:ind w:start="720"/>
      <w:contextualSpacing/>
    </w:pPr>
    <w:rPr/>
  </w:style>
  <w:style w:type="paragraph" w:styleId="Frame-inhoud">
    <w:name w:val="Frame-inhoud"/>
    <w:basedOn w:val="Normal"/>
    <w:qFormat/>
    <w:pPr/>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chart>
    <c:title>
      <c:tx>
        <c:rich>
          <a:bodyPr rot="0"/>
          <a:lstStyle/>
          <a:p>
            <a:pPr>
              <a:defRPr sz="1300" b="0" u="none" strike="noStrike">
                <a:uFillTx/>
                <a:latin typeface="Arial"/>
              </a:defRPr>
            </a:pPr>
            <a:r>
              <a:rPr sz="1400" b="0" u="none" strike="noStrike">
                <a:solidFill>
                  <a:schemeClr val="tx1">
                    <a:lumMod val="65000"/>
                    <a:lumOff val="35000"/>
                  </a:schemeClr>
                </a:solidFill>
                <a:uFillTx/>
                <a:latin typeface="Calibri"/>
              </a:rPr>
              <a:t>aantal </a:t>
            </a:r>
          </a:p>
        </c:rich>
      </c:tx>
      <c:overlay val="0"/>
      <c:spPr>
        <a:noFill/>
        <a:ln w="0">
          <a:noFill/>
        </a:ln>
      </c:spPr>
    </c:title>
    <c:autoTitleDeleted val="0"/>
    <c:plotArea>
      <c:barChart>
        <c:barDir val="col"/>
        <c:grouping val="clustered"/>
        <c:varyColors val="0"/>
        <c:ser>
          <c:idx val="0"/>
          <c:order val="0"/>
          <c:tx>
            <c:strRef>
              <c:f>label 0</c:f>
              <c:strCache>
                <c:ptCount val="1"/>
                <c:pt idx="0">
                  <c:v>aantal </c:v>
                </c:pt>
              </c:strCache>
            </c:strRef>
          </c:tx>
          <c:spPr>
            <a:solidFill>
              <a:srgbClr val="ED7D31"/>
            </a:solidFill>
            <a:ln w="12600">
              <a:noFill/>
            </a:ln>
          </c:spPr>
          <c:invertIfNegative val="0"/>
          <c:dLbls>
            <c:txPr>
              <a:bodyPr wrap="square"/>
              <a:lstStyle/>
              <a:p>
                <a:pPr>
                  <a:defRPr sz="1000" b="0" u="none" strike="noStrike">
                    <a:solidFill>
                      <a:srgbClr val="000000"/>
                    </a:solidFill>
                    <a:uFillTx/>
                    <a:latin typeface="Calibri"/>
                  </a:defRPr>
                </a:pPr>
              </a:p>
            </c:txPr>
            <c:dLblPos val="outEnd"/>
            <c:showLegendKey val="0"/>
            <c:showVal val="0"/>
            <c:showCatName val="0"/>
            <c:showSerName val="0"/>
            <c:showPercent val="0"/>
            <c:separator>; </c:separator>
            <c:showLeaderLines val="1"/>
            <c:leaderLines>
              <c:spPr>
                <a:ln w="0">
                  <a:solidFill>
                    <a:srgbClr val="000000"/>
                  </a:solidFill>
                </a:ln>
              </c:spPr>
            </c:leaderLines>
            <c:extLst>
              <c:ext xmlns:c15="http://schemas.microsoft.com/office/drawing/2012/chart" uri="{CE6537A1-D6FC-4f65-9D91-7224C49458BB}">
                <c15:showLeaderLines val="1"/>
              </c:ext>
            </c:extLst>
          </c:dLbls>
          <c:cat>
            <c:strRef>
              <c:f>categories</c:f>
              <c:strCache>
                <c:ptCount val="7"/>
                <c:pt idx="0">
                  <c:v>0-17</c:v>
                </c:pt>
                <c:pt idx="1">
                  <c:v>18-40</c:v>
                </c:pt>
                <c:pt idx="2">
                  <c:v>41-65</c:v>
                </c:pt>
                <c:pt idx="3">
                  <c:v>66-79</c:v>
                </c:pt>
                <c:pt idx="4">
                  <c:v>80-+</c:v>
                </c:pt>
                <c:pt idx="5">
                  <c:v>onbekend</c:v>
                </c:pt>
                <c:pt idx="6">
                  <c:v>Totaal</c:v>
                </c:pt>
              </c:strCache>
            </c:strRef>
          </c:cat>
          <c:val>
            <c:numRef>
              <c:f>0</c:f>
              <c:numCache>
                <c:formatCode>General</c:formatCode>
                <c:ptCount val="7"/>
                <c:pt idx="0">
                  <c:v>17</c:v>
                </c:pt>
                <c:pt idx="1">
                  <c:v>14</c:v>
                </c:pt>
                <c:pt idx="2">
                  <c:v>66</c:v>
                </c:pt>
                <c:pt idx="3">
                  <c:v>105</c:v>
                </c:pt>
                <c:pt idx="4">
                  <c:v>54</c:v>
                </c:pt>
                <c:pt idx="5">
                  <c:v>5</c:v>
                </c:pt>
                <c:pt idx="6">
                  <c:v>261</c:v>
                </c:pt>
              </c:numCache>
            </c:numRef>
          </c:val>
        </c:ser>
        <c:gapWidth val="219"/>
        <c:overlap val="-27"/>
        <c:axId val="44301124"/>
        <c:axId val="11231430"/>
      </c:barChart>
      <c:catAx>
        <c:axId val="4430112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p>
        </c:txPr>
        <c:crossAx val="11231430"/>
        <c:crosses val="autoZero"/>
        <c:auto val="1"/>
        <c:lblAlgn val="ctr"/>
        <c:lblOffset val="100"/>
        <c:noMultiLvlLbl val="0"/>
      </c:catAx>
      <c:valAx>
        <c:axId val="1123143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p>
        </c:txPr>
        <c:crossAx val="44301124"/>
        <c:crosses val="autoZero"/>
        <c:crossBetween val="between"/>
      </c:valAx>
      <c:spPr>
        <a:noFill/>
        <a:ln w="0">
          <a:noFill/>
        </a:ln>
      </c:spPr>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xmlns:r="http://schemas.openxmlformats.org/officeDocument/2006/relationships" name="Office-th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LibreOffice/26.2.5.2$Linux_X86_64 LibreOffice_project/cd7284b4cbbfeb507e630c1aac019f4157393acb</Application>
  <AppVersion>15.0000</AppVersion>
  <Pages>3</Pages>
  <Words>2469</Words>
  <Characters>14606</Characters>
  <CharactersWithSpaces>16870</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2024-10-30T14:15:00Z</dcterms:created>
  <dc:creator>Carla Schoonenberg</dc:creator>
  <dc:description/>
  <dc:language>nl-NL</dc:language>
  <cp:lastModifiedBy>N. Vreugdenhil</cp:lastModifiedBy>
  <dcterms:modified xsi:type="dcterms:W3CDTF">2025-01-27T10:08:00Z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